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2F08" w14:textId="77777777"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14:paraId="7C043702" w14:textId="77777777"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14:paraId="48BF3BF1" w14:textId="77777777"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14:paraId="6B6B5BE6" w14:textId="77777777"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14:paraId="10B16E1C" w14:textId="77777777"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01D9DCDA" w14:textId="77777777"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1DFA3EE9" w14:textId="77777777"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14:paraId="244C2E77" w14:textId="77777777"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184"/>
        <w:gridCol w:w="1170"/>
        <w:gridCol w:w="552"/>
        <w:gridCol w:w="618"/>
        <w:gridCol w:w="1260"/>
        <w:gridCol w:w="1531"/>
      </w:tblGrid>
      <w:tr w:rsidR="001F0815" w:rsidRPr="00DD093A" w14:paraId="0FD0596D" w14:textId="77777777" w:rsidTr="00207FC8">
        <w:trPr>
          <w:trHeight w:val="450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F501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14:paraId="4874811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09F" w14:textId="77777777"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C2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60EE369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0D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BC1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C7D5B5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D5B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Telefon/Fax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96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455C941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E02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0C0A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70E047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27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9104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CE739D6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EE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153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255A645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B0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82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56AD20B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E3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456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63B6FFFA" w14:textId="77777777" w:rsidTr="00E343B1">
        <w:trPr>
          <w:trHeight w:val="61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DBA" w14:textId="77777777"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539" w14:textId="77777777"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0081DE95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229ABF8" w14:textId="77777777" w:rsidR="00682E92" w:rsidRPr="00DD093A" w:rsidRDefault="00682E92" w:rsidP="005761FB">
            <w:pPr>
              <w:widowControl w:val="0"/>
              <w:tabs>
                <w:tab w:val="left" w:pos="519"/>
              </w:tabs>
              <w:autoSpaceDE w:val="0"/>
              <w:autoSpaceDN w:val="0"/>
              <w:spacing w:line="300" w:lineRule="auto"/>
              <w:ind w:firstLine="360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2A1011FB" w14:textId="77777777" w:rsidTr="00E343B1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D3" w14:textId="77777777"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77F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E5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14:paraId="093AAE42" w14:textId="77777777" w:rsidTr="00207FC8">
        <w:trPr>
          <w:trHeight w:val="450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E9017" w14:textId="77777777"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5761FB" w:rsidRPr="00DD093A" w14:paraId="76B4361F" w14:textId="77777777" w:rsidTr="005761FB">
        <w:trPr>
          <w:trHeight w:val="345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CAC" w14:textId="77777777" w:rsidR="005761FB" w:rsidRPr="00E16E7E" w:rsidRDefault="005761FB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14:paraId="2DC1C9C8" w14:textId="77777777" w:rsidR="005761FB" w:rsidRPr="00E16E7E" w:rsidRDefault="005761FB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 redni broj ispred mjere)</w:t>
            </w:r>
          </w:p>
          <w:p w14:paraId="7E66D971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AB0B17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7CE5B" w14:textId="31CC0EE1" w:rsidR="005761FB" w:rsidRPr="005761FB" w:rsidRDefault="005761FB" w:rsidP="00F52FAD">
            <w:pPr>
              <w:widowControl w:val="0"/>
              <w:autoSpaceDE w:val="0"/>
              <w:autoSpaceDN w:val="0"/>
              <w:spacing w:after="0" w:line="30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Arial" w:hAnsi="Arial Narrow"/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  <w:r w:rsidRPr="005761FB">
              <w:rPr>
                <w:rFonts w:ascii="Arial Narrow" w:eastAsia="Arial" w:hAnsi="Arial Narrow"/>
                <w:b/>
                <w:bCs/>
                <w:i/>
                <w:iCs/>
                <w:color w:val="000000"/>
                <w:sz w:val="20"/>
                <w:szCs w:val="20"/>
              </w:rPr>
              <w:t xml:space="preserve">Unapređenje biljne poljoprivredne proizvodnje </w:t>
            </w:r>
          </w:p>
        </w:tc>
      </w:tr>
      <w:tr w:rsidR="005761FB" w:rsidRPr="00DD093A" w14:paraId="61F32C6D" w14:textId="77777777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4E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85B1" w14:textId="0CC9213D" w:rsidR="00F52FAD" w:rsidRPr="00F52FAD" w:rsidRDefault="005761FB" w:rsidP="00F52FAD">
            <w:pPr>
              <w:pStyle w:val="Odlomakpopisa"/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ind w:left="0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eastAsia="Arial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  <w:p w14:paraId="3195FC0C" w14:textId="11CD2105" w:rsidR="005761FB" w:rsidRPr="00F52FAD" w:rsidRDefault="00F52FAD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sz w:val="20"/>
                <w:szCs w:val="20"/>
              </w:rPr>
              <w:t>Potpora iznosi do 30,00 EUR po hektaru (ha) do maksimalno 10 ha za minimalno kupljenih 1 tonu sredstva za kalcifikaciju po ha.</w:t>
            </w:r>
          </w:p>
        </w:tc>
      </w:tr>
      <w:tr w:rsidR="005761FB" w:rsidRPr="00DD093A" w14:paraId="1A9207ED" w14:textId="77777777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A28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F84" w14:textId="77777777" w:rsidR="00F52FAD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  <w:p w14:paraId="0539EEFD" w14:textId="41A62504" w:rsidR="005761FB" w:rsidRPr="00F52FAD" w:rsidRDefault="00F52FAD" w:rsidP="00F52FAD">
            <w:pPr>
              <w:pStyle w:val="Tijeloteksta"/>
              <w:rPr>
                <w:rFonts w:ascii="Arial Narrow" w:hAnsi="Arial Narrow"/>
                <w:b/>
                <w:color w:val="000000"/>
              </w:rPr>
            </w:pPr>
            <w:r w:rsidRPr="00F52FAD">
              <w:rPr>
                <w:rFonts w:ascii="Arial Narrow" w:hAnsi="Arial Narrow"/>
                <w:spacing w:val="5"/>
              </w:rPr>
              <w:t xml:space="preserve">Potpora iznosi </w:t>
            </w:r>
            <w:r w:rsidRPr="00F52FAD">
              <w:rPr>
                <w:rFonts w:ascii="Arial Narrow" w:hAnsi="Arial Narrow"/>
              </w:rPr>
              <w:t>do</w:t>
            </w:r>
            <w:r w:rsidRPr="00F52FAD">
              <w:rPr>
                <w:rFonts w:ascii="Arial Narrow" w:hAnsi="Arial Narrow"/>
                <w:spacing w:val="5"/>
              </w:rPr>
              <w:t xml:space="preserve"> 100,00 eura po ha za nabavu su</w:t>
            </w:r>
            <w:r w:rsidRPr="00F52FAD">
              <w:rPr>
                <w:rFonts w:ascii="Arial Narrow" w:hAnsi="Arial Narrow"/>
              </w:rPr>
              <w:t>stava</w:t>
            </w:r>
            <w:r w:rsidRPr="00F52FAD">
              <w:rPr>
                <w:rFonts w:ascii="Arial Narrow" w:hAnsi="Arial Narrow"/>
                <w:spacing w:val="4"/>
              </w:rPr>
              <w:t xml:space="preserve"> </w:t>
            </w:r>
            <w:r w:rsidRPr="00F52FAD">
              <w:rPr>
                <w:rFonts w:ascii="Arial Narrow" w:hAnsi="Arial Narrow"/>
              </w:rPr>
              <w:t>za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navodnjavanje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(pumpa,</w:t>
            </w:r>
            <w:r w:rsidRPr="00F52FAD">
              <w:rPr>
                <w:rFonts w:ascii="Arial Narrow" w:hAnsi="Arial Narrow"/>
                <w:spacing w:val="4"/>
              </w:rPr>
              <w:t xml:space="preserve"> </w:t>
            </w:r>
            <w:r w:rsidRPr="00F52FAD">
              <w:rPr>
                <w:rFonts w:ascii="Arial Narrow" w:hAnsi="Arial Narrow"/>
              </w:rPr>
              <w:t>cijevi, kapaljke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i</w:t>
            </w:r>
            <w:r w:rsidRPr="00F52FAD">
              <w:rPr>
                <w:rFonts w:ascii="Arial Narrow" w:hAnsi="Arial Narrow"/>
                <w:spacing w:val="6"/>
              </w:rPr>
              <w:t xml:space="preserve"> </w:t>
            </w:r>
            <w:r w:rsidRPr="00F52FAD">
              <w:rPr>
                <w:rFonts w:ascii="Arial Narrow" w:hAnsi="Arial Narrow"/>
              </w:rPr>
              <w:t>dr.), do maksimalnih 5,00 ha u jednoj kalendarskoj godini. Minimalna površina postavljanja sustava za navodnjavanje je 0,20 ha, a maksimalna do 5,00 ha.</w:t>
            </w:r>
          </w:p>
        </w:tc>
      </w:tr>
      <w:tr w:rsidR="005761FB" w:rsidRPr="00DD093A" w14:paraId="07224012" w14:textId="77777777" w:rsidTr="00492853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26C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397F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  <w:p w14:paraId="6A175DAC" w14:textId="77777777" w:rsidR="005761FB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iznosi 20,00 eura po uzorku, minimalne prihvatljive površine za analizu tla 0,20 ha. Maksimalni iznos potpore iznosi do 100,00 eura za 5 uzoraka po poljoprivrednom gospodarstvu u jednoj kalendarskoj godini.</w:t>
            </w:r>
          </w:p>
          <w:p w14:paraId="202A0583" w14:textId="59BCF8EB" w:rsidR="00F52FAD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5761FB" w:rsidRPr="00DD093A" w14:paraId="1F0D19D5" w14:textId="77777777" w:rsidTr="005761FB">
        <w:trPr>
          <w:trHeight w:val="21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967C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DF23" w14:textId="41525BC0" w:rsidR="005761FB" w:rsidRPr="00F52FAD" w:rsidRDefault="005761FB" w:rsidP="00F52FAD">
            <w:pPr>
              <w:widowControl w:val="0"/>
              <w:shd w:val="clear" w:color="auto" w:fill="BFBFBF" w:themeFill="background1" w:themeFillShade="BF"/>
              <w:tabs>
                <w:tab w:val="left" w:pos="284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i/>
                <w:iCs/>
                <w:sz w:val="20"/>
                <w:szCs w:val="20"/>
              </w:rPr>
              <w:t xml:space="preserve">     2. Unapređenje stočarske proizvodnje</w:t>
            </w:r>
          </w:p>
        </w:tc>
      </w:tr>
      <w:tr w:rsidR="005761FB" w:rsidRPr="00DD093A" w14:paraId="040EBC9F" w14:textId="77777777" w:rsidTr="00492853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80B6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2EE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  <w:p w14:paraId="306A9624" w14:textId="703E76D7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iznosi do 30,00 eura po grlu, a maksimalni iznos potpore iznosi do 300,00 eura do 10 grla po poljoprivrednom gospodarstvu u jednoj kalendarskoj godini. </w:t>
            </w:r>
          </w:p>
        </w:tc>
      </w:tr>
      <w:tr w:rsidR="005761FB" w:rsidRPr="00DD093A" w14:paraId="62DE62F0" w14:textId="77777777" w:rsidTr="004B7921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436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579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  <w:p w14:paraId="5EBBBA13" w14:textId="17390B5B" w:rsidR="00F52FAD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iznosi do 15,00 eura po krmači, a maksimalni iznos potpore iznosi do 150,00 eura za 10 krmača po poljoprivrednom gospodarstvu u jednoj kalendarskoj godini. </w:t>
            </w:r>
          </w:p>
        </w:tc>
      </w:tr>
      <w:tr w:rsidR="005761FB" w:rsidRPr="00DD093A" w14:paraId="724B6A84" w14:textId="77777777" w:rsidTr="005761FB">
        <w:trPr>
          <w:trHeight w:val="7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FF5D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A9037" w14:textId="0F969EC8" w:rsidR="005761FB" w:rsidRPr="00F52FAD" w:rsidRDefault="005761FB" w:rsidP="00F52FA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i/>
                <w:iCs/>
                <w:sz w:val="20"/>
                <w:szCs w:val="20"/>
              </w:rPr>
              <w:t>3. Unapređenje plasmana vlastitih proizvoda</w:t>
            </w:r>
          </w:p>
        </w:tc>
      </w:tr>
      <w:tr w:rsidR="005761FB" w:rsidRPr="00DD093A" w14:paraId="251F5375" w14:textId="77777777" w:rsidTr="00F6543B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59BE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69BD" w14:textId="58FC38EE" w:rsidR="005761FB" w:rsidRPr="00F52FAD" w:rsidRDefault="005761FB" w:rsidP="00F52F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  <w:p w14:paraId="2514AC36" w14:textId="331813F8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iznosi najviše do 200,00 eura po poljoprivrednom gospodarstvu u jednoj kalendarskoj godini, a osigurana je za maksimalno do 10 poljoprivrednih gospodarstava godišnje.</w:t>
            </w:r>
          </w:p>
        </w:tc>
      </w:tr>
      <w:tr w:rsidR="005761FB" w:rsidRPr="00DD093A" w14:paraId="52C39283" w14:textId="77777777" w:rsidTr="00F6543B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9A93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29A" w14:textId="77777777" w:rsidR="005761FB" w:rsidRPr="00F52FAD" w:rsidRDefault="005761FB" w:rsidP="00F52FAD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  <w:p w14:paraId="4F4CDCE8" w14:textId="184835B0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se isplaćuje najviše do 300,00 eura po poljoprivrednom gospodarstvu u jednoj kalendarskoj godini, a osigurana je za maksimalno do 10 poljoprivrednih gospodarstava godišnje.</w:t>
            </w:r>
          </w:p>
        </w:tc>
      </w:tr>
      <w:tr w:rsidR="005761FB" w:rsidRPr="00DD093A" w14:paraId="02A0DD4E" w14:textId="77777777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3CEA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4BB0" w14:textId="77777777" w:rsidR="005761FB" w:rsidRPr="00F52FAD" w:rsidRDefault="005761FB" w:rsidP="00F52FAD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  <w:p w14:paraId="0048C457" w14:textId="3B9A9C65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se isplaćuje najviše do 300,00 eura po poljoprivrednom gospodarstvu u jednoj kalendarskoj godini, a osigurana je za maksimalno do 10 poljoprivrednih gospodarstava godišnje.</w:t>
            </w:r>
          </w:p>
        </w:tc>
      </w:tr>
      <w:tr w:rsidR="001F0815" w:rsidRPr="00DD093A" w14:paraId="03CE2C19" w14:textId="77777777" w:rsidTr="00207FC8">
        <w:trPr>
          <w:trHeight w:val="425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88F7" w14:textId="77777777"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OSTALE INFORMACIJE BITNE ZA IZVRŠENO ULAGANJE </w:t>
            </w:r>
          </w:p>
        </w:tc>
      </w:tr>
      <w:tr w:rsidR="00F52FAD" w:rsidRPr="00DD093A" w14:paraId="28C93EFD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AF" w14:textId="77777777" w:rsidR="00F52FAD" w:rsidRPr="00DD093A" w:rsidRDefault="00F52FAD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6809" w14:textId="77777777" w:rsidR="00E343B1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</w:t>
            </w:r>
          </w:p>
          <w:p w14:paraId="688F53AE" w14:textId="3284AC2F" w:rsidR="00F52FAD" w:rsidRPr="00DD093A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goveda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282" w14:textId="77777777" w:rsidR="00F52FAD" w:rsidRPr="00DD093A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7881" w14:textId="43BB84FE" w:rsidR="00F52FAD" w:rsidRPr="00DD093A" w:rsidRDefault="00E343B1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Opremanje prostora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822" w14:textId="77777777" w:rsidR="00E343B1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</w:t>
            </w:r>
          </w:p>
          <w:p w14:paraId="175ACF70" w14:textId="0BE9D041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44A7" w14:textId="77777777" w:rsidR="00E343B1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</w:t>
            </w:r>
          </w:p>
          <w:p w14:paraId="11D4B8FB" w14:textId="712FD4DE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zemljišta</w:t>
            </w:r>
          </w:p>
        </w:tc>
      </w:tr>
      <w:tr w:rsidR="00F52FAD" w:rsidRPr="00DD093A" w14:paraId="1DDAFEFC" w14:textId="77777777" w:rsidTr="005B4478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687" w14:textId="501DDB7E" w:rsidR="00F52FAD" w:rsidRPr="00F52FAD" w:rsidRDefault="00F52FAD" w:rsidP="00E343B1">
            <w:pPr>
              <w:pStyle w:val="Odlomakpopisa"/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ind w:left="0"/>
              <w:rPr>
                <w:iCs/>
                <w:color w:val="FF0000"/>
                <w:sz w:val="20"/>
                <w:szCs w:val="20"/>
              </w:rPr>
            </w:pPr>
            <w:r w:rsidRPr="00F52FAD">
              <w:rPr>
                <w:rFonts w:eastAsia="Arial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881FB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FFF6B54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33A1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5A9795" w14:textId="77777777" w:rsidR="00F52FAD" w:rsidRPr="00DD093A" w:rsidRDefault="00F52FAD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9F2D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16EEBFA" w14:textId="77777777" w:rsidR="00F52FAD" w:rsidRPr="00DD093A" w:rsidRDefault="00F52FAD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5FEC8" w14:textId="50171AE0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BBBF55C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C06E76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55A8CDF" w14:textId="77777777" w:rsidR="00F52FAD" w:rsidRPr="00DD093A" w:rsidRDefault="00F52FAD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1CD56800" w14:textId="77777777" w:rsidTr="005B4478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752" w14:textId="7572CC8B" w:rsidR="00F52FAD" w:rsidRPr="00F52FAD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5376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9449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5DC4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73C2" w14:textId="7BEE310B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3DBF01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1C780236" w14:textId="77777777" w:rsidTr="005B4478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B49" w14:textId="1FAAC5CB" w:rsidR="00F52FAD" w:rsidRPr="00DD093A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34DB5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8D898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2654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A0FC5" w14:textId="5464778C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ABB627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4C8D8CB9" w14:textId="77777777" w:rsidTr="005B4478">
        <w:trPr>
          <w:trHeight w:val="498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7D3" w14:textId="4E2FED2D" w:rsidR="00F52FAD" w:rsidRPr="001D2D1B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425B0E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2D63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AF60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E7D6" w14:textId="72ADDF76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D16A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6A758B14" w14:textId="77777777" w:rsidTr="005B4478">
        <w:trPr>
          <w:trHeight w:val="41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4D12" w14:textId="57C225C5" w:rsidR="00F52FAD" w:rsidRPr="00F52FAD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A9843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A00B65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495A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FF5A" w14:textId="3CFB7668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FB7C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6FECD386" w14:textId="77777777" w:rsidTr="005B4478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7CA5" w14:textId="0CC40FB9" w:rsidR="00F52FAD" w:rsidRPr="00F52FAD" w:rsidRDefault="00F52FAD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A255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048E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1AF9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CAB931" w14:textId="0963AF8B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4167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44ACE5F7" w14:textId="77777777" w:rsidTr="005B4478">
        <w:trPr>
          <w:trHeight w:val="43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9AA5" w14:textId="25561D42" w:rsidR="00F52FAD" w:rsidRPr="00F52FAD" w:rsidRDefault="00F52FAD" w:rsidP="00E343B1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707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C00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25F6ED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C61C" w14:textId="01B23EF5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DEA9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074524C2" w14:textId="77777777" w:rsidTr="005B4478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7973" w14:textId="73AD3B20" w:rsidR="00F52FAD" w:rsidRPr="00F52FAD" w:rsidRDefault="00F52FAD" w:rsidP="00E343B1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F0D8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B4D8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5244C0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3E8A" w14:textId="6A4C1F1B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1AE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2EBDB989" w14:textId="2C899180" w:rsidTr="00287E01">
        <w:trPr>
          <w:trHeight w:val="525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9FA66E" w14:textId="3798A705" w:rsidR="00E343B1" w:rsidRPr="00DD093A" w:rsidRDefault="00E343B1" w:rsidP="00F52FA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4. PRIHVATLJIVI TROŠKOVI</w:t>
            </w:r>
          </w:p>
        </w:tc>
      </w:tr>
      <w:tr w:rsidR="00382459" w:rsidRPr="00DD093A" w14:paraId="5B611D9F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8B25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E422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016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E343B1" w:rsidRPr="00DD093A" w14:paraId="18D752F9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9A" w14:textId="5EE6E95C" w:rsidR="00E343B1" w:rsidRPr="00DD093A" w:rsidRDefault="00E343B1" w:rsidP="00E3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6BF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5D9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CD3C09C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C79" w14:textId="3DF170DF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269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F5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733CDE2A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D68" w14:textId="4BD95AEB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31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28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33DADFB9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068" w14:textId="6C81C502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833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8E16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4B29D004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CA9" w14:textId="496FBD2F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80C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1767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18180E18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47D" w14:textId="5EB99DCC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F7E7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040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59F43A0F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463" w14:textId="79306C6B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8A5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220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613F5DB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0C" w14:textId="3D5CAAF7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09B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7A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1B6CD57A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C1BA" w14:textId="57671325" w:rsidR="00E343B1" w:rsidRPr="00F52FAD" w:rsidRDefault="00E343B1" w:rsidP="00E343B1">
            <w:pPr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" w:hAnsi="Arial Narrow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E4CB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32FC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2FA8C1BE" w14:textId="77777777" w:rsidTr="00D005C6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C41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lastRenderedPageBreak/>
              <w:t>Mjesto ulaganja:</w:t>
            </w:r>
          </w:p>
          <w:p w14:paraId="398BB75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14:paraId="400696B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20E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3FE6AB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A80F0F5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9381511" w14:textId="77777777" w:rsidTr="00207FC8">
        <w:trPr>
          <w:trHeight w:val="414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8848" w14:textId="77777777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E343B1" w:rsidRPr="00DD093A" w14:paraId="013A47DD" w14:textId="77777777" w:rsidTr="00207FC8">
        <w:trPr>
          <w:trHeight w:val="704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7A9" w14:textId="77777777" w:rsidR="00E343B1" w:rsidRPr="00DD093A" w:rsidRDefault="00E343B1" w:rsidP="00E343B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E343B1" w:rsidRPr="00DD093A" w14:paraId="333171EE" w14:textId="77777777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81E" w14:textId="0491CF72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datum:</w:t>
            </w:r>
          </w:p>
          <w:p w14:paraId="3D4F7E8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DB5FF43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306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14:paraId="575F842C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14:paraId="065E616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8F4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14:paraId="3451DEFE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3E494E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14:paraId="0AEC95A6" w14:textId="77777777"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35C125" w14:textId="77777777"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3F78FD" w14:textId="77777777"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1165DC" w14:textId="77777777"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14:paraId="427DB51D" w14:textId="3DEC90B5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</w:t>
      </w:r>
      <w:r w:rsidR="00022EED">
        <w:rPr>
          <w:rFonts w:ascii="Arial Narrow" w:hAnsi="Arial Narrow"/>
          <w:sz w:val="20"/>
          <w:szCs w:val="20"/>
        </w:rPr>
        <w:t>2</w:t>
      </w:r>
      <w:r w:rsidR="00F647B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6B99EDA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0B400561" w14:textId="77777777"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zahtjev treba dostaviti potrebnu dokumentaciju iz član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sectPr w:rsidR="00207FC8" w:rsidRPr="00382459" w:rsidSect="00DD093A">
      <w:footerReference w:type="even" r:id="rId7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614D" w14:textId="77777777" w:rsidR="00DD2ABF" w:rsidRDefault="00DD2ABF">
      <w:pPr>
        <w:spacing w:after="0" w:line="240" w:lineRule="auto"/>
      </w:pPr>
      <w:r>
        <w:separator/>
      </w:r>
    </w:p>
  </w:endnote>
  <w:endnote w:type="continuationSeparator" w:id="0">
    <w:p w14:paraId="700D9CA8" w14:textId="77777777" w:rsidR="00DD2ABF" w:rsidRDefault="00DD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5042" w14:textId="77777777"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>31000 Osijek, tel: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>; fax. 031/213-567; www.obz.hr</w:t>
    </w:r>
  </w:p>
  <w:p w14:paraId="754EC712" w14:textId="77777777"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C866" w14:textId="77777777" w:rsidR="00DD2ABF" w:rsidRDefault="00DD2ABF">
      <w:pPr>
        <w:spacing w:after="0" w:line="240" w:lineRule="auto"/>
      </w:pPr>
      <w:r>
        <w:separator/>
      </w:r>
    </w:p>
  </w:footnote>
  <w:footnote w:type="continuationSeparator" w:id="0">
    <w:p w14:paraId="755051F0" w14:textId="77777777" w:rsidR="00DD2ABF" w:rsidRDefault="00DD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3168"/>
    <w:multiLevelType w:val="hybridMultilevel"/>
    <w:tmpl w:val="52B67606"/>
    <w:lvl w:ilvl="0" w:tplc="EBA474FC">
      <w:start w:val="1"/>
      <w:numFmt w:val="bullet"/>
      <w:lvlText w:val="-"/>
      <w:lvlJc w:val="left"/>
      <w:pPr>
        <w:ind w:left="61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661032A0"/>
    <w:multiLevelType w:val="hybridMultilevel"/>
    <w:tmpl w:val="C22CC56C"/>
    <w:lvl w:ilvl="0" w:tplc="79704BB0">
      <w:start w:val="1"/>
      <w:numFmt w:val="decimal"/>
      <w:lvlText w:val="%1."/>
      <w:lvlJc w:val="left"/>
      <w:pPr>
        <w:ind w:left="519" w:hanging="269"/>
      </w:pPr>
      <w:rPr>
        <w:rFonts w:ascii="Times New Roman" w:eastAsia="Arial" w:hAnsi="Times New Roman" w:cs="Times New Roman"/>
        <w:w w:val="99"/>
        <w:sz w:val="24"/>
        <w:szCs w:val="24"/>
        <w:lang w:val="hr-HR" w:eastAsia="en-US" w:bidi="ar-SA"/>
      </w:rPr>
    </w:lvl>
    <w:lvl w:ilvl="1" w:tplc="0F84859C">
      <w:numFmt w:val="bullet"/>
      <w:lvlText w:val="•"/>
      <w:lvlJc w:val="left"/>
      <w:pPr>
        <w:ind w:left="520" w:hanging="269"/>
      </w:pPr>
      <w:rPr>
        <w:lang w:val="hr-HR" w:eastAsia="en-US" w:bidi="ar-SA"/>
      </w:rPr>
    </w:lvl>
    <w:lvl w:ilvl="2" w:tplc="38CC4C0E">
      <w:numFmt w:val="bullet"/>
      <w:lvlText w:val="•"/>
      <w:lvlJc w:val="left"/>
      <w:pPr>
        <w:ind w:left="1565" w:hanging="269"/>
      </w:pPr>
      <w:rPr>
        <w:lang w:val="hr-HR" w:eastAsia="en-US" w:bidi="ar-SA"/>
      </w:rPr>
    </w:lvl>
    <w:lvl w:ilvl="3" w:tplc="04709040">
      <w:numFmt w:val="bullet"/>
      <w:lvlText w:val="•"/>
      <w:lvlJc w:val="left"/>
      <w:pPr>
        <w:ind w:left="2610" w:hanging="269"/>
      </w:pPr>
      <w:rPr>
        <w:lang w:val="hr-HR" w:eastAsia="en-US" w:bidi="ar-SA"/>
      </w:rPr>
    </w:lvl>
    <w:lvl w:ilvl="4" w:tplc="7FCAEEA6">
      <w:numFmt w:val="bullet"/>
      <w:lvlText w:val="•"/>
      <w:lvlJc w:val="left"/>
      <w:pPr>
        <w:ind w:left="3655" w:hanging="269"/>
      </w:pPr>
      <w:rPr>
        <w:lang w:val="hr-HR" w:eastAsia="en-US" w:bidi="ar-SA"/>
      </w:rPr>
    </w:lvl>
    <w:lvl w:ilvl="5" w:tplc="1AF80944">
      <w:numFmt w:val="bullet"/>
      <w:lvlText w:val="•"/>
      <w:lvlJc w:val="left"/>
      <w:pPr>
        <w:ind w:left="4700" w:hanging="269"/>
      </w:pPr>
      <w:rPr>
        <w:lang w:val="hr-HR" w:eastAsia="en-US" w:bidi="ar-SA"/>
      </w:rPr>
    </w:lvl>
    <w:lvl w:ilvl="6" w:tplc="E822F3A2">
      <w:numFmt w:val="bullet"/>
      <w:lvlText w:val="•"/>
      <w:lvlJc w:val="left"/>
      <w:pPr>
        <w:ind w:left="5745" w:hanging="269"/>
      </w:pPr>
      <w:rPr>
        <w:lang w:val="hr-HR" w:eastAsia="en-US" w:bidi="ar-SA"/>
      </w:rPr>
    </w:lvl>
    <w:lvl w:ilvl="7" w:tplc="377A91D4">
      <w:numFmt w:val="bullet"/>
      <w:lvlText w:val="•"/>
      <w:lvlJc w:val="left"/>
      <w:pPr>
        <w:ind w:left="6790" w:hanging="269"/>
      </w:pPr>
      <w:rPr>
        <w:lang w:val="hr-HR" w:eastAsia="en-US" w:bidi="ar-SA"/>
      </w:rPr>
    </w:lvl>
    <w:lvl w:ilvl="8" w:tplc="1CD4389C">
      <w:numFmt w:val="bullet"/>
      <w:lvlText w:val="•"/>
      <w:lvlJc w:val="left"/>
      <w:pPr>
        <w:ind w:left="7836" w:hanging="269"/>
      </w:pPr>
      <w:rPr>
        <w:lang w:val="hr-HR" w:eastAsia="en-US" w:bidi="ar-SA"/>
      </w:rPr>
    </w:lvl>
  </w:abstractNum>
  <w:abstractNum w:abstractNumId="5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88F749D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136B"/>
    <w:multiLevelType w:val="hybridMultilevel"/>
    <w:tmpl w:val="D868A80C"/>
    <w:lvl w:ilvl="0" w:tplc="5BC05D9E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0DC1"/>
    <w:multiLevelType w:val="hybridMultilevel"/>
    <w:tmpl w:val="C22CC56C"/>
    <w:lvl w:ilvl="0" w:tplc="FFFFFFFF">
      <w:start w:val="1"/>
      <w:numFmt w:val="decimal"/>
      <w:lvlText w:val="%1."/>
      <w:lvlJc w:val="left"/>
      <w:pPr>
        <w:ind w:left="519" w:hanging="269"/>
      </w:pPr>
      <w:rPr>
        <w:rFonts w:ascii="Times New Roman" w:eastAsia="Arial" w:hAnsi="Times New Roman" w:cs="Times New Roman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52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565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2610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3655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4700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5745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6790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7836" w:hanging="269"/>
      </w:pPr>
      <w:rPr>
        <w:lang w:val="hr-HR" w:eastAsia="en-US" w:bidi="ar-SA"/>
      </w:rPr>
    </w:lvl>
  </w:abstractNum>
  <w:num w:numId="1" w16cid:durableId="1597210220">
    <w:abstractNumId w:val="5"/>
  </w:num>
  <w:num w:numId="2" w16cid:durableId="95248536">
    <w:abstractNumId w:val="1"/>
  </w:num>
  <w:num w:numId="3" w16cid:durableId="858273092">
    <w:abstractNumId w:val="2"/>
  </w:num>
  <w:num w:numId="4" w16cid:durableId="873931035">
    <w:abstractNumId w:val="8"/>
  </w:num>
  <w:num w:numId="5" w16cid:durableId="1619531824">
    <w:abstractNumId w:val="0"/>
  </w:num>
  <w:num w:numId="6" w16cid:durableId="15952809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051099">
    <w:abstractNumId w:val="3"/>
  </w:num>
  <w:num w:numId="8" w16cid:durableId="1859465568">
    <w:abstractNumId w:val="6"/>
  </w:num>
  <w:num w:numId="9" w16cid:durableId="1264416948">
    <w:abstractNumId w:val="4"/>
  </w:num>
  <w:num w:numId="10" w16cid:durableId="1197963357">
    <w:abstractNumId w:val="9"/>
  </w:num>
  <w:num w:numId="11" w16cid:durableId="163540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15"/>
    <w:rsid w:val="00022EED"/>
    <w:rsid w:val="00023FFF"/>
    <w:rsid w:val="00042C86"/>
    <w:rsid w:val="0008305F"/>
    <w:rsid w:val="00091C7D"/>
    <w:rsid w:val="000A773F"/>
    <w:rsid w:val="000C3DCF"/>
    <w:rsid w:val="000D3B41"/>
    <w:rsid w:val="000D680A"/>
    <w:rsid w:val="00114539"/>
    <w:rsid w:val="001452BC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761FB"/>
    <w:rsid w:val="005B3AD9"/>
    <w:rsid w:val="005B4478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A050C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86269"/>
    <w:rsid w:val="00AC5BFF"/>
    <w:rsid w:val="00AC5CE8"/>
    <w:rsid w:val="00AD3F49"/>
    <w:rsid w:val="00AD6652"/>
    <w:rsid w:val="00AF5610"/>
    <w:rsid w:val="00AF5EC4"/>
    <w:rsid w:val="00B72172"/>
    <w:rsid w:val="00B80FA9"/>
    <w:rsid w:val="00BA33C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2ABF"/>
    <w:rsid w:val="00DD7E47"/>
    <w:rsid w:val="00E07C19"/>
    <w:rsid w:val="00E16E7E"/>
    <w:rsid w:val="00E2114C"/>
    <w:rsid w:val="00E343B1"/>
    <w:rsid w:val="00E97D63"/>
    <w:rsid w:val="00EB1E07"/>
    <w:rsid w:val="00F137A7"/>
    <w:rsid w:val="00F52FAD"/>
    <w:rsid w:val="00F647B1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645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  <w:style w:type="paragraph" w:styleId="Tijeloteksta">
    <w:name w:val="Body Text"/>
    <w:basedOn w:val="Normal"/>
    <w:link w:val="TijelotekstaChar"/>
    <w:rsid w:val="00F52FAD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F52FAD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IVANA FOCIC</cp:lastModifiedBy>
  <cp:revision>21</cp:revision>
  <cp:lastPrinted>2018-11-07T11:14:00Z</cp:lastPrinted>
  <dcterms:created xsi:type="dcterms:W3CDTF">2018-11-05T14:02:00Z</dcterms:created>
  <dcterms:modified xsi:type="dcterms:W3CDTF">2024-10-25T12:11:00Z</dcterms:modified>
</cp:coreProperties>
</file>