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79BE" w14:textId="77777777" w:rsidR="008D5475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2541D853" wp14:editId="6A14B733">
            <wp:extent cx="752478" cy="952503"/>
            <wp:effectExtent l="0" t="0" r="9522" b="0"/>
            <wp:docPr id="226743756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</w:t>
      </w:r>
      <w:r>
        <w:rPr>
          <w:noProof/>
        </w:rPr>
        <w:drawing>
          <wp:inline distT="0" distB="0" distL="0" distR="0" wp14:anchorId="37C51192" wp14:editId="1E3FD30D">
            <wp:extent cx="2457450" cy="723903"/>
            <wp:effectExtent l="0" t="0" r="0" b="0"/>
            <wp:docPr id="894244628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        </w:t>
      </w:r>
    </w:p>
    <w:p w14:paraId="319658F3" w14:textId="77777777" w:rsidR="008D5475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6FDF1D78" w14:textId="77777777" w:rsidR="008D5475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5D7A7177" w14:textId="77777777" w:rsidR="008D5475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3D5FB939" w14:textId="77777777" w:rsidR="008D5475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1C519521" w14:textId="77777777" w:rsidR="008D5475" w:rsidRDefault="00000000">
      <w:pPr>
        <w:ind w:left="-57" w:right="-57"/>
      </w:pPr>
      <w:r>
        <w:rPr>
          <w:b/>
        </w:rPr>
        <w:t xml:space="preserve">       OPĆINSKI NAČELNIK</w:t>
      </w:r>
    </w:p>
    <w:p w14:paraId="00D2C92A" w14:textId="77777777" w:rsidR="008D5475" w:rsidRDefault="008D5475">
      <w:pPr>
        <w:ind w:left="-57" w:right="-57"/>
        <w:rPr>
          <w:color w:val="000000"/>
        </w:rPr>
      </w:pPr>
    </w:p>
    <w:p w14:paraId="317C103F" w14:textId="77777777" w:rsidR="008D5475" w:rsidRDefault="00000000">
      <w:pPr>
        <w:tabs>
          <w:tab w:val="center" w:pos="2410"/>
        </w:tabs>
        <w:ind w:left="-57" w:right="-57"/>
        <w:jc w:val="both"/>
      </w:pPr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7F881F5E" w14:textId="77777777" w:rsidR="008D5475" w:rsidRDefault="00000000">
      <w:pPr>
        <w:tabs>
          <w:tab w:val="center" w:pos="2410"/>
        </w:tabs>
        <w:ind w:left="-57" w:right="-57"/>
        <w:jc w:val="both"/>
      </w:pPr>
      <w:r>
        <w:rPr>
          <w:b/>
        </w:rPr>
        <w:t>URBROJ: 2103-15-03-25-3</w:t>
      </w:r>
    </w:p>
    <w:p w14:paraId="242866BA" w14:textId="77777777" w:rsidR="008D5475" w:rsidRDefault="00000000">
      <w:pPr>
        <w:ind w:left="-57" w:right="-57"/>
        <w:rPr>
          <w:b/>
        </w:rPr>
      </w:pPr>
      <w:r>
        <w:rPr>
          <w:b/>
        </w:rPr>
        <w:t>U Šandrovcu, 28.10.2025.</w:t>
      </w:r>
    </w:p>
    <w:p w14:paraId="3CF9BC52" w14:textId="77777777" w:rsidR="008D5475" w:rsidRDefault="008D5475">
      <w:pPr>
        <w:spacing w:line="360" w:lineRule="auto"/>
        <w:rPr>
          <w:color w:val="000000"/>
          <w:sz w:val="20"/>
        </w:rPr>
      </w:pPr>
    </w:p>
    <w:p w14:paraId="53BA6BF5" w14:textId="77777777" w:rsidR="008D5475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p w14:paraId="31CC6B80" w14:textId="77777777" w:rsidR="008D5475" w:rsidRDefault="008D5475">
      <w:pPr>
        <w:jc w:val="center"/>
        <w:rPr>
          <w:b/>
        </w:rPr>
      </w:pPr>
    </w:p>
    <w:p w14:paraId="0A44CAA5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0C1ED7D0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za dodjelu potpore za umjetno </w:t>
      </w:r>
      <w:proofErr w:type="spellStart"/>
      <w:r>
        <w:rPr>
          <w:rFonts w:eastAsia="Calibri"/>
          <w:b/>
          <w:color w:val="000000"/>
          <w:lang w:eastAsia="en-US"/>
        </w:rPr>
        <w:t>osjemenjivanje</w:t>
      </w:r>
      <w:proofErr w:type="spellEnd"/>
      <w:r>
        <w:rPr>
          <w:rFonts w:eastAsia="Calibri"/>
          <w:b/>
          <w:color w:val="000000"/>
          <w:lang w:eastAsia="en-US"/>
        </w:rPr>
        <w:t xml:space="preserve"> goveda</w:t>
      </w:r>
    </w:p>
    <w:p w14:paraId="1649FF10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2FCABAA4" w14:textId="77777777" w:rsidR="008D5475" w:rsidRDefault="008D5475">
      <w:pPr>
        <w:rPr>
          <w:rFonts w:eastAsia="Calibri"/>
          <w:b/>
          <w:color w:val="000000"/>
          <w:lang w:eastAsia="en-US"/>
        </w:rPr>
      </w:pPr>
    </w:p>
    <w:p w14:paraId="0F66F767" w14:textId="77777777" w:rsidR="008D5475" w:rsidRDefault="008D5475">
      <w:pPr>
        <w:rPr>
          <w:rFonts w:eastAsia="Calibri"/>
          <w:b/>
          <w:color w:val="000000"/>
          <w:lang w:eastAsia="en-US"/>
        </w:rPr>
      </w:pPr>
    </w:p>
    <w:p w14:paraId="7C2DEB61" w14:textId="77777777" w:rsidR="008D5475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08ABD497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43074B25" w14:textId="77777777" w:rsidR="008D5475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korisnicima potpora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09DA9D51" w14:textId="77777777" w:rsidR="008D5475" w:rsidRDefault="00000000">
      <w:pPr>
        <w:jc w:val="both"/>
      </w:pPr>
      <w:r>
        <w:rPr>
          <w:color w:val="000000"/>
        </w:rPr>
        <w:t>Cilj potpore za</w:t>
      </w:r>
      <w:r>
        <w:rPr>
          <w:rFonts w:eastAsia="Calibri"/>
          <w:color w:val="000000"/>
          <w:lang w:eastAsia="en-US"/>
        </w:rPr>
        <w:t xml:space="preserve">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je razvoj stočarske proizvodnje, obnova stočnog fonda te povećanje broja i  </w:t>
      </w:r>
      <w:r>
        <w:rPr>
          <w:color w:val="000000"/>
        </w:rPr>
        <w:t>konkurentnost obiteljskih gospodarstava.</w:t>
      </w:r>
    </w:p>
    <w:p w14:paraId="22D1DBDC" w14:textId="77777777" w:rsidR="008D5475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67EC3992" w14:textId="77777777" w:rsidR="008D5475" w:rsidRDefault="008D5475">
      <w:pPr>
        <w:jc w:val="both"/>
        <w:rPr>
          <w:rFonts w:eastAsia="Calibri"/>
          <w:color w:val="000000"/>
          <w:lang w:eastAsia="en-US"/>
        </w:rPr>
      </w:pPr>
    </w:p>
    <w:p w14:paraId="6C698E26" w14:textId="77777777" w:rsidR="008D5475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287F282A" w14:textId="77777777" w:rsidR="008D5475" w:rsidRDefault="008D5475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31349D83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4A8B84A7" w14:textId="77777777" w:rsidR="008D5475" w:rsidRDefault="00000000">
      <w:pPr>
        <w:jc w:val="both"/>
      </w:pPr>
      <w:r>
        <w:rPr>
          <w:color w:val="000000"/>
        </w:rPr>
        <w:t xml:space="preserve">Potpora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na području Općine Šandrovac </w:t>
      </w:r>
      <w:r>
        <w:rPr>
          <w:color w:val="000000"/>
        </w:rPr>
        <w:t xml:space="preserve">odobriti će se korisniku za subvencioniranje troškova umjetnog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 xml:space="preserve"> goveda. </w:t>
      </w:r>
    </w:p>
    <w:p w14:paraId="656CE13E" w14:textId="77777777" w:rsidR="008D5475" w:rsidRDefault="00000000">
      <w:pPr>
        <w:jc w:val="both"/>
      </w:pPr>
      <w:r>
        <w:rPr>
          <w:color w:val="000000"/>
        </w:rPr>
        <w:t>Cilj potpore za</w:t>
      </w:r>
      <w:r>
        <w:rPr>
          <w:rFonts w:eastAsia="Calibri"/>
          <w:color w:val="000000"/>
          <w:lang w:eastAsia="en-US"/>
        </w:rPr>
        <w:t xml:space="preserve">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je razvoj stočarske proizvodnje, obnova stočnog fonda te povećanje broja i  </w:t>
      </w:r>
      <w:r>
        <w:rPr>
          <w:color w:val="000000"/>
        </w:rPr>
        <w:t>konkurentnost obiteljskih gospodarstava.</w:t>
      </w:r>
    </w:p>
    <w:p w14:paraId="1D09FAEA" w14:textId="77777777" w:rsidR="008D5475" w:rsidRDefault="00000000">
      <w:pPr>
        <w:jc w:val="both"/>
      </w:pPr>
      <w:r>
        <w:t>Potpora iznosi do 30,00 eura po grlu, a maksimalni iznos potpore iznosi do 300,00 eura do 10 grla po poljoprivrednom gospodarstvu u jednoj kalendarskoj godini.</w:t>
      </w:r>
    </w:p>
    <w:p w14:paraId="22EBB25C" w14:textId="77777777" w:rsidR="008D5475" w:rsidRDefault="00000000">
      <w:pPr>
        <w:jc w:val="both"/>
      </w:pPr>
      <w:r>
        <w:t>Prihvatljivi troškovi su svi troškovi koji su nastali nakon 1. siječnja 2025. godine.</w:t>
      </w:r>
    </w:p>
    <w:p w14:paraId="4726349C" w14:textId="77777777" w:rsidR="008D5475" w:rsidRDefault="00000000">
      <w:pPr>
        <w:jc w:val="both"/>
      </w:pPr>
      <w:r>
        <w:t>Potpore se ne dodjeljuju za troškove PDV-a i drugih poreza, carina ili sličnih troškova.</w:t>
      </w:r>
    </w:p>
    <w:p w14:paraId="1FBD1F90" w14:textId="77777777" w:rsidR="008D5475" w:rsidRPr="00AA52E1" w:rsidRDefault="00000000">
      <w:pPr>
        <w:pStyle w:val="Bezproreda"/>
        <w:jc w:val="both"/>
        <w:rPr>
          <w:lang w:val="pl-PL"/>
        </w:rPr>
      </w:pPr>
      <w:r w:rsidRPr="00AA52E1">
        <w:rPr>
          <w:rFonts w:ascii="Times New Roman" w:hAnsi="Times New Roman"/>
          <w:sz w:val="24"/>
          <w:szCs w:val="24"/>
          <w:lang w:val="hr-HR"/>
        </w:rPr>
        <w:t xml:space="preserve">U postupku odobravanja potpore primjenjuju se odredbe važeće </w:t>
      </w:r>
      <w:r w:rsidRPr="00AA52E1">
        <w:rPr>
          <w:rFonts w:ascii="Times New Roman" w:eastAsia="Calibri" w:hAnsi="Times New Roman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AA52E1">
        <w:rPr>
          <w:rFonts w:ascii="Times New Roman" w:eastAsia="Calibri" w:hAnsi="Times New Roman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0" w:name="_Hlk86749060"/>
      <w:r w:rsidRPr="00AA52E1">
        <w:rPr>
          <w:rFonts w:ascii="Times New Roman" w:hAnsi="Times New Roman"/>
          <w:color w:val="000000"/>
          <w:sz w:val="24"/>
          <w:szCs w:val="24"/>
          <w:lang w:val="pl-PL"/>
        </w:rPr>
        <w:t xml:space="preserve">(SL L 352, 24.12.2013.) i Uredbom Komisije (EU) 2019/316 od 21. veljače 2019. o izmjeni Uredbe (EU) br. 1408/2013 </w:t>
      </w:r>
      <w:r w:rsidRPr="00AA52E1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o promjeni članka 107. i 108. Ugovora o funkcioniranju Europske unije na potpore de minimis u poljoprivrednom sektoru (SL L 51/1, 22.2.2019.) (dalje u tekstu: Uredba 1408/2013).</w:t>
      </w:r>
    </w:p>
    <w:p w14:paraId="35709774" w14:textId="77777777" w:rsidR="008D5475" w:rsidRDefault="008D5475">
      <w:pPr>
        <w:jc w:val="both"/>
      </w:pPr>
    </w:p>
    <w:bookmarkEnd w:id="0"/>
    <w:p w14:paraId="3B6F0333" w14:textId="77777777" w:rsidR="008D5475" w:rsidRDefault="008D5475">
      <w:pPr>
        <w:rPr>
          <w:b/>
        </w:rPr>
      </w:pPr>
    </w:p>
    <w:p w14:paraId="2CDA8F00" w14:textId="77777777" w:rsidR="008D5475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57ACB3D0" w14:textId="77777777" w:rsidR="008D5475" w:rsidRDefault="008D5475">
      <w:pPr>
        <w:rPr>
          <w:b/>
        </w:rPr>
      </w:pPr>
    </w:p>
    <w:p w14:paraId="177B10FA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6746F533" w14:textId="77777777" w:rsidR="008D5475" w:rsidRDefault="00000000">
      <w:pPr>
        <w:jc w:val="both"/>
      </w:pPr>
      <w:r>
        <w:rPr>
          <w:color w:val="000000"/>
        </w:rPr>
        <w:t xml:space="preserve">Uvjeti za dodjelu potpore </w:t>
      </w:r>
      <w:r>
        <w:rPr>
          <w:rFonts w:eastAsia="Calibri"/>
          <w:color w:val="000000"/>
          <w:lang w:eastAsia="en-US"/>
        </w:rPr>
        <w:t xml:space="preserve">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na području Općine Šandrovac</w:t>
      </w:r>
      <w:r>
        <w:rPr>
          <w:color w:val="000000"/>
        </w:rPr>
        <w:t xml:space="preserve"> su sljedeći: </w:t>
      </w:r>
    </w:p>
    <w:p w14:paraId="28399014" w14:textId="77777777" w:rsidR="008D5475" w:rsidRDefault="00000000">
      <w:pPr>
        <w:pStyle w:val="Odlomakpopisa"/>
        <w:numPr>
          <w:ilvl w:val="0"/>
          <w:numId w:val="15"/>
        </w:numPr>
        <w:ind w:left="0" w:firstLine="0"/>
        <w:jc w:val="both"/>
        <w:rPr>
          <w:color w:val="000000"/>
        </w:rPr>
      </w:pPr>
      <w:r>
        <w:rPr>
          <w:color w:val="000000"/>
        </w:rPr>
        <w:t>korisnici mogu biti poljoprivredna gospodarstva (OPG, obrti, trgovačka društva, zadruge registrirane za obavljanje poljoprivredne djelatnosti) upisana u Upisnik poljoprivrednih gospodarstava,</w:t>
      </w:r>
    </w:p>
    <w:p w14:paraId="43590DFB" w14:textId="77777777" w:rsidR="008D5475" w:rsidRDefault="00000000">
      <w:pPr>
        <w:pStyle w:val="Odlomakpopisa"/>
        <w:numPr>
          <w:ilvl w:val="0"/>
          <w:numId w:val="15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sjedište poljoprivrednog gospodarstva te stoka  za koju se traži potpora treba biti na području Općine Šandrovac, </w:t>
      </w:r>
    </w:p>
    <w:p w14:paraId="4A7A314C" w14:textId="77777777" w:rsidR="008D5475" w:rsidRDefault="00000000">
      <w:pPr>
        <w:pStyle w:val="Odlomakpopisa"/>
        <w:numPr>
          <w:ilvl w:val="0"/>
          <w:numId w:val="15"/>
        </w:numPr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osjemenjivanje</w:t>
      </w:r>
      <w:proofErr w:type="spellEnd"/>
      <w:r>
        <w:rPr>
          <w:color w:val="000000"/>
        </w:rPr>
        <w:t xml:space="preserve"> treba biti izvršeno u tekućoj godini, a prije podnošenja zahtjeva za isplatu,</w:t>
      </w:r>
    </w:p>
    <w:p w14:paraId="4CC205A7" w14:textId="77777777" w:rsidR="008D5475" w:rsidRDefault="00000000">
      <w:pPr>
        <w:pStyle w:val="Odlomakpopisa"/>
        <w:numPr>
          <w:ilvl w:val="0"/>
          <w:numId w:val="15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potpora će se isplaćivati po ispostavljenom originalnom računu od strane veterinarske stanice koja ima sklopljen ugovor sa Općinom Šandrovac, u pravilu jednom mjesečno, sa priloženom specifikacijom obavljenih usluga po pojedinom korisniku te sa pripadajućim brojevima usluga i datumima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>.</w:t>
      </w:r>
    </w:p>
    <w:p w14:paraId="4A5FB7BA" w14:textId="77777777" w:rsidR="008D5475" w:rsidRDefault="008D5475">
      <w:pPr>
        <w:jc w:val="center"/>
        <w:rPr>
          <w:rFonts w:eastAsia="Calibri"/>
          <w:b/>
          <w:color w:val="000000"/>
          <w:lang w:eastAsia="en-US"/>
        </w:rPr>
      </w:pPr>
    </w:p>
    <w:p w14:paraId="55182F2A" w14:textId="77777777" w:rsidR="008D5475" w:rsidRDefault="008D5475">
      <w:pPr>
        <w:jc w:val="center"/>
        <w:rPr>
          <w:rFonts w:eastAsia="Calibri"/>
          <w:b/>
          <w:color w:val="000000"/>
          <w:lang w:eastAsia="en-US"/>
        </w:rPr>
      </w:pPr>
    </w:p>
    <w:p w14:paraId="1BD63ADF" w14:textId="77777777" w:rsidR="008D5475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049D43F9" w14:textId="77777777" w:rsidR="008D5475" w:rsidRDefault="008D5475">
      <w:pPr>
        <w:rPr>
          <w:rFonts w:eastAsia="Calibri"/>
          <w:b/>
          <w:color w:val="000000"/>
          <w:lang w:eastAsia="en-US"/>
        </w:rPr>
      </w:pPr>
    </w:p>
    <w:p w14:paraId="20455B76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1FD27398" w14:textId="77777777" w:rsidR="008D5475" w:rsidRDefault="00000000">
      <w:pPr>
        <w:jc w:val="both"/>
      </w:pPr>
      <w:r>
        <w:t>Potpore se odobravaju temeljem podnesenih zahtjeva za dodjelu potpora na propisanim obrascima.</w:t>
      </w:r>
    </w:p>
    <w:p w14:paraId="67A94AC2" w14:textId="77777777" w:rsidR="008D5475" w:rsidRDefault="00000000">
      <w:r>
        <w:t>Podnositelj zahtjeva, uz obrazac zahtjeva za odobravanje potpore (Prilog 1) mora priložiti sljedeću dokumentaciju:</w:t>
      </w:r>
    </w:p>
    <w:p w14:paraId="64A5EBB0" w14:textId="77777777" w:rsidR="008D5475" w:rsidRDefault="00000000">
      <w:pPr>
        <w:jc w:val="both"/>
      </w:pPr>
      <w:r>
        <w:t xml:space="preserve">1. preslik rješenja o upisu u Upisnik </w:t>
      </w:r>
      <w:r>
        <w:rPr>
          <w:color w:val="000000"/>
        </w:rPr>
        <w:t>poljoprivrednih gospodarstava (ukoliko je podnositelj zahtjeva obrtnik i presliku obrtnice),</w:t>
      </w:r>
    </w:p>
    <w:p w14:paraId="4C4F9867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 xml:space="preserve">2.originalni račun izdan od strane nadležne veterinarske stanice, sa priloženom specifikacijom obavljenih usluga po pojedinom korisniku te sa pripadajućim brojevima usluga i datumima </w:t>
      </w:r>
      <w:proofErr w:type="spellStart"/>
      <w:r>
        <w:rPr>
          <w:color w:val="000000"/>
        </w:rPr>
        <w:t>osjemenjivanja</w:t>
      </w:r>
      <w:proofErr w:type="spellEnd"/>
      <w:r>
        <w:rPr>
          <w:color w:val="000000"/>
        </w:rPr>
        <w:t>,</w:t>
      </w:r>
    </w:p>
    <w:p w14:paraId="24967C9D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 dvije godine na propisanom obrascu,</w:t>
      </w:r>
    </w:p>
    <w:p w14:paraId="3C375AAB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 poduzetnicima (ispunjavaju samo pravne osobe)</w:t>
      </w:r>
    </w:p>
    <w:p w14:paraId="329E1E79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7703E551" w14:textId="77777777" w:rsidR="008D5475" w:rsidRDefault="00000000">
      <w:pPr>
        <w:suppressAutoHyphens w:val="0"/>
        <w:jc w:val="both"/>
        <w:textAlignment w:val="auto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 zadruge registrirane za obavljanje poljoprivredne djelatnosti) upisana u Upisnik poljoprivrednih gospodarstava, odnosno preslika rješenja o Upisu u sudski registar – za pravne osobe,</w:t>
      </w:r>
    </w:p>
    <w:p w14:paraId="6B813AB3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57B5E2FB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77D19E0F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3FA98E59" w14:textId="77777777" w:rsidR="008D5475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66C6D18F" w14:textId="77777777" w:rsidR="008D5475" w:rsidRDefault="008D5475">
      <w:pPr>
        <w:jc w:val="both"/>
        <w:rPr>
          <w:rFonts w:eastAsia="Calibri"/>
          <w:lang w:eastAsia="en-US"/>
        </w:rPr>
      </w:pPr>
    </w:p>
    <w:p w14:paraId="746243FF" w14:textId="77777777" w:rsidR="008D5475" w:rsidRDefault="008D5475">
      <w:pPr>
        <w:jc w:val="center"/>
        <w:rPr>
          <w:rFonts w:eastAsia="Calibri"/>
          <w:b/>
          <w:color w:val="000000"/>
          <w:lang w:eastAsia="en-US"/>
        </w:rPr>
      </w:pPr>
    </w:p>
    <w:p w14:paraId="78D780CC" w14:textId="77777777" w:rsidR="008D5475" w:rsidRDefault="008D5475">
      <w:pPr>
        <w:jc w:val="center"/>
        <w:rPr>
          <w:rFonts w:eastAsia="Calibri"/>
          <w:b/>
          <w:color w:val="000000"/>
          <w:lang w:eastAsia="en-US"/>
        </w:rPr>
      </w:pPr>
    </w:p>
    <w:p w14:paraId="7E75195A" w14:textId="77777777" w:rsidR="008D5475" w:rsidRDefault="008D5475">
      <w:pPr>
        <w:jc w:val="center"/>
        <w:rPr>
          <w:rFonts w:eastAsia="Calibri"/>
          <w:b/>
          <w:color w:val="000000"/>
          <w:lang w:eastAsia="en-US"/>
        </w:rPr>
      </w:pPr>
    </w:p>
    <w:p w14:paraId="6D5A8CA6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lastRenderedPageBreak/>
        <w:t>Članak 5.</w:t>
      </w:r>
    </w:p>
    <w:p w14:paraId="45D2BF5B" w14:textId="77777777" w:rsidR="008D5475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4103D40F" w14:textId="77777777" w:rsidR="008D5475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4AEB20A9" w14:textId="77777777" w:rsidR="008D5475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Davatelj državne potpore dužan je korisniku potpore dostaviti obavijest da mu je dodijeljena potpora male vrijednosti sukladno Uredbi 1408/2013.</w:t>
      </w:r>
    </w:p>
    <w:p w14:paraId="3950CBBC" w14:textId="77777777" w:rsidR="008D5475" w:rsidRDefault="008D5475">
      <w:pPr>
        <w:jc w:val="both"/>
        <w:rPr>
          <w:color w:val="000000"/>
        </w:rPr>
      </w:pPr>
    </w:p>
    <w:p w14:paraId="6BA4CB0E" w14:textId="77777777" w:rsidR="008D5475" w:rsidRDefault="00000000">
      <w:pPr>
        <w:rPr>
          <w:b/>
        </w:rPr>
      </w:pPr>
      <w:r>
        <w:rPr>
          <w:b/>
        </w:rPr>
        <w:t>V. NAČIN, MJESTO I ROK PODNOŠENJA ZAHTJEVA</w:t>
      </w:r>
    </w:p>
    <w:p w14:paraId="2C0EB72C" w14:textId="77777777" w:rsidR="008D5475" w:rsidRDefault="008D5475">
      <w:pPr>
        <w:rPr>
          <w:b/>
        </w:rPr>
      </w:pPr>
    </w:p>
    <w:p w14:paraId="4B95D9CB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4ED10D2C" w14:textId="77777777" w:rsidR="008D5475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na području Općine Šandrovac </w:t>
      </w:r>
      <w:r>
        <w:rPr>
          <w:color w:val="000000"/>
        </w:rPr>
        <w:t xml:space="preserve">dostavljaju se unutar roka za dostavu zahtjeva odnosno od 28. listopada do 28. studenog 2025. godine do 15,00 sati, odnosno do utroška sredstava planiranih u proračunu Općine Šandrovac za 2025. godinu. </w:t>
      </w:r>
    </w:p>
    <w:p w14:paraId="44F33550" w14:textId="77777777" w:rsidR="008D5475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za umjetno </w:t>
      </w:r>
      <w:proofErr w:type="spellStart"/>
      <w:r>
        <w:rPr>
          <w:rFonts w:eastAsia="Calibri"/>
          <w:color w:val="000000"/>
          <w:lang w:eastAsia="en-US"/>
        </w:rPr>
        <w:t>osjemenjivanje</w:t>
      </w:r>
      <w:proofErr w:type="spellEnd"/>
      <w:r>
        <w:rPr>
          <w:rFonts w:eastAsia="Calibri"/>
          <w:color w:val="000000"/>
          <w:lang w:eastAsia="en-US"/>
        </w:rPr>
        <w:t xml:space="preserve"> goveda na području Općine Šandrovac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OSJEMENJIVANJE GOVEDA“ </w:t>
      </w:r>
    </w:p>
    <w:p w14:paraId="41512038" w14:textId="77777777" w:rsidR="008D5475" w:rsidRDefault="008D5475">
      <w:pPr>
        <w:rPr>
          <w:b/>
        </w:rPr>
      </w:pPr>
    </w:p>
    <w:p w14:paraId="604DDC3C" w14:textId="77777777" w:rsidR="008D5475" w:rsidRDefault="00000000">
      <w:pPr>
        <w:rPr>
          <w:b/>
        </w:rPr>
      </w:pPr>
      <w:r>
        <w:rPr>
          <w:b/>
        </w:rPr>
        <w:t>VI. OSTALE INFORMACIJE</w:t>
      </w:r>
    </w:p>
    <w:p w14:paraId="2606C61C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6CEAF19E" w14:textId="77777777" w:rsidR="008D5475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0C442540" w14:textId="77777777" w:rsidR="008D5475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2D55BCA0" w14:textId="77777777" w:rsidR="008D5475" w:rsidRDefault="008D5475">
      <w:pPr>
        <w:jc w:val="both"/>
        <w:rPr>
          <w:rFonts w:eastAsia="Calibri"/>
          <w:color w:val="000000"/>
          <w:lang w:eastAsia="en-US"/>
        </w:rPr>
      </w:pPr>
    </w:p>
    <w:p w14:paraId="4D321EB1" w14:textId="77777777" w:rsidR="008D5475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16D03A9B" w14:textId="77777777" w:rsidR="008D5475" w:rsidRDefault="008D5475">
      <w:pPr>
        <w:jc w:val="both"/>
        <w:rPr>
          <w:rFonts w:eastAsia="Calibri"/>
          <w:b/>
          <w:color w:val="000000"/>
          <w:lang w:eastAsia="en-US"/>
        </w:rPr>
      </w:pPr>
    </w:p>
    <w:p w14:paraId="4D64F8AA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35A47FFA" w14:textId="77777777" w:rsidR="008D5475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02CE7B15" w14:textId="77777777" w:rsidR="008D5475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46547F43" w14:textId="77777777" w:rsidR="008D5475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32A314BF" w14:textId="77777777" w:rsidR="008D5475" w:rsidRDefault="008D5475">
      <w:pPr>
        <w:jc w:val="both"/>
        <w:rPr>
          <w:rFonts w:eastAsia="Calibri"/>
          <w:color w:val="000000"/>
          <w:lang w:eastAsia="en-US"/>
        </w:rPr>
      </w:pPr>
    </w:p>
    <w:p w14:paraId="355FA0FB" w14:textId="77777777" w:rsidR="008D5475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30AF7C80" w14:textId="77777777" w:rsidR="008D5475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574800A2" w14:textId="77777777" w:rsidR="008D5475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004D214B" w14:textId="77777777" w:rsidR="008D5475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2A02F6F1" w14:textId="77777777" w:rsidR="008D5475" w:rsidRDefault="008D5475">
      <w:pPr>
        <w:jc w:val="both"/>
      </w:pPr>
    </w:p>
    <w:p w14:paraId="4EC833F9" w14:textId="77777777" w:rsidR="008D5475" w:rsidRDefault="00000000">
      <w:pPr>
        <w:jc w:val="center"/>
      </w:pPr>
      <w:r>
        <w:t>Općinski načelnik Općine Šandrovac</w:t>
      </w:r>
    </w:p>
    <w:p w14:paraId="717EB710" w14:textId="77777777" w:rsidR="008D5475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sectPr w:rsidR="008D547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E8FB" w14:textId="77777777" w:rsidR="007E7EF5" w:rsidRDefault="007E7EF5">
      <w:r>
        <w:separator/>
      </w:r>
    </w:p>
  </w:endnote>
  <w:endnote w:type="continuationSeparator" w:id="0">
    <w:p w14:paraId="171618C9" w14:textId="77777777" w:rsidR="007E7EF5" w:rsidRDefault="007E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1D27" w14:textId="77777777" w:rsidR="007E7EF5" w:rsidRDefault="007E7EF5">
      <w:r>
        <w:rPr>
          <w:color w:val="000000"/>
        </w:rPr>
        <w:separator/>
      </w:r>
    </w:p>
  </w:footnote>
  <w:footnote w:type="continuationSeparator" w:id="0">
    <w:p w14:paraId="656AEABD" w14:textId="77777777" w:rsidR="007E7EF5" w:rsidRDefault="007E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580"/>
    <w:multiLevelType w:val="multilevel"/>
    <w:tmpl w:val="C9963CF8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2D5D7D"/>
    <w:multiLevelType w:val="multilevel"/>
    <w:tmpl w:val="C0A4F886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B660BC1"/>
    <w:multiLevelType w:val="multilevel"/>
    <w:tmpl w:val="34D2DEB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E1200F3"/>
    <w:multiLevelType w:val="multilevel"/>
    <w:tmpl w:val="40288DD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D9F21B3"/>
    <w:multiLevelType w:val="multilevel"/>
    <w:tmpl w:val="2F4E507A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F2B7341"/>
    <w:multiLevelType w:val="multilevel"/>
    <w:tmpl w:val="BF1AD68C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C991F60"/>
    <w:multiLevelType w:val="multilevel"/>
    <w:tmpl w:val="D046C4C6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C70502E"/>
    <w:multiLevelType w:val="multilevel"/>
    <w:tmpl w:val="4FDC380C"/>
    <w:styleLink w:val="WWOutlineListStyle1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3FCC3731"/>
    <w:multiLevelType w:val="multilevel"/>
    <w:tmpl w:val="39D06180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9B56171"/>
    <w:multiLevelType w:val="multilevel"/>
    <w:tmpl w:val="CDB40970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2CB6C80"/>
    <w:multiLevelType w:val="multilevel"/>
    <w:tmpl w:val="64B293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B04033E"/>
    <w:multiLevelType w:val="multilevel"/>
    <w:tmpl w:val="258A6C24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BB33E65"/>
    <w:multiLevelType w:val="multilevel"/>
    <w:tmpl w:val="D16E0ED0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F8D5DB5"/>
    <w:multiLevelType w:val="multilevel"/>
    <w:tmpl w:val="40D0BC3E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1386E3E"/>
    <w:multiLevelType w:val="multilevel"/>
    <w:tmpl w:val="0B483294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10970048">
    <w:abstractNumId w:val="7"/>
  </w:num>
  <w:num w:numId="2" w16cid:durableId="948048006">
    <w:abstractNumId w:val="0"/>
  </w:num>
  <w:num w:numId="3" w16cid:durableId="1723864410">
    <w:abstractNumId w:val="4"/>
  </w:num>
  <w:num w:numId="4" w16cid:durableId="756632179">
    <w:abstractNumId w:val="9"/>
  </w:num>
  <w:num w:numId="5" w16cid:durableId="1359886826">
    <w:abstractNumId w:val="12"/>
  </w:num>
  <w:num w:numId="6" w16cid:durableId="2079015714">
    <w:abstractNumId w:val="1"/>
  </w:num>
  <w:num w:numId="7" w16cid:durableId="70350057">
    <w:abstractNumId w:val="8"/>
  </w:num>
  <w:num w:numId="8" w16cid:durableId="537360022">
    <w:abstractNumId w:val="11"/>
  </w:num>
  <w:num w:numId="9" w16cid:durableId="692847781">
    <w:abstractNumId w:val="6"/>
  </w:num>
  <w:num w:numId="10" w16cid:durableId="310525572">
    <w:abstractNumId w:val="13"/>
  </w:num>
  <w:num w:numId="11" w16cid:durableId="1437941225">
    <w:abstractNumId w:val="3"/>
  </w:num>
  <w:num w:numId="12" w16cid:durableId="1650209008">
    <w:abstractNumId w:val="14"/>
  </w:num>
  <w:num w:numId="13" w16cid:durableId="568424896">
    <w:abstractNumId w:val="5"/>
  </w:num>
  <w:num w:numId="14" w16cid:durableId="1589731865">
    <w:abstractNumId w:val="2"/>
  </w:num>
  <w:num w:numId="15" w16cid:durableId="2089647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475"/>
    <w:rsid w:val="007E7EF5"/>
    <w:rsid w:val="008D5475"/>
    <w:rsid w:val="009E1593"/>
    <w:rsid w:val="00A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3611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3">
    <w:name w:val="WW_OutlineListStyle_13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2">
    <w:name w:val="WW_OutlineListStyle_12"/>
    <w:basedOn w:val="Bezpopisa"/>
    <w:pPr>
      <w:numPr>
        <w:numId w:val="2"/>
      </w:numPr>
    </w:pPr>
  </w:style>
  <w:style w:type="numbering" w:customStyle="1" w:styleId="WWOutlineListStyle11">
    <w:name w:val="WW_OutlineListStyle_11"/>
    <w:basedOn w:val="Bezpopisa"/>
    <w:pPr>
      <w:numPr>
        <w:numId w:val="3"/>
      </w:numPr>
    </w:pPr>
  </w:style>
  <w:style w:type="numbering" w:customStyle="1" w:styleId="WWOutlineListStyle10">
    <w:name w:val="WW_OutlineListStyle_10"/>
    <w:basedOn w:val="Bezpopisa"/>
    <w:pPr>
      <w:numPr>
        <w:numId w:val="4"/>
      </w:numPr>
    </w:pPr>
  </w:style>
  <w:style w:type="numbering" w:customStyle="1" w:styleId="WWOutlineListStyle9">
    <w:name w:val="WW_OutlineListStyle_9"/>
    <w:basedOn w:val="Bezpopisa"/>
    <w:pPr>
      <w:numPr>
        <w:numId w:val="5"/>
      </w:numPr>
    </w:pPr>
  </w:style>
  <w:style w:type="numbering" w:customStyle="1" w:styleId="WWOutlineListStyle8">
    <w:name w:val="WW_OutlineListStyle_8"/>
    <w:basedOn w:val="Bezpopisa"/>
    <w:pPr>
      <w:numPr>
        <w:numId w:val="6"/>
      </w:numPr>
    </w:pPr>
  </w:style>
  <w:style w:type="numbering" w:customStyle="1" w:styleId="WWOutlineListStyle7">
    <w:name w:val="WW_OutlineListStyle_7"/>
    <w:basedOn w:val="Bezpopisa"/>
    <w:pPr>
      <w:numPr>
        <w:numId w:val="7"/>
      </w:numPr>
    </w:pPr>
  </w:style>
  <w:style w:type="numbering" w:customStyle="1" w:styleId="WWOutlineListStyle6">
    <w:name w:val="WW_OutlineListStyle_6"/>
    <w:basedOn w:val="Bezpopisa"/>
    <w:pPr>
      <w:numPr>
        <w:numId w:val="8"/>
      </w:numPr>
    </w:pPr>
  </w:style>
  <w:style w:type="numbering" w:customStyle="1" w:styleId="WWOutlineListStyle5">
    <w:name w:val="WW_OutlineListStyle_5"/>
    <w:basedOn w:val="Bezpopisa"/>
    <w:pPr>
      <w:numPr>
        <w:numId w:val="9"/>
      </w:numPr>
    </w:pPr>
  </w:style>
  <w:style w:type="numbering" w:customStyle="1" w:styleId="WWOutlineListStyle4">
    <w:name w:val="WW_OutlineListStyle_4"/>
    <w:basedOn w:val="Bezpopisa"/>
    <w:pPr>
      <w:numPr>
        <w:numId w:val="10"/>
      </w:numPr>
    </w:pPr>
  </w:style>
  <w:style w:type="numbering" w:customStyle="1" w:styleId="WWOutlineListStyle3">
    <w:name w:val="WW_OutlineListStyle_3"/>
    <w:basedOn w:val="Bezpopisa"/>
    <w:pPr>
      <w:numPr>
        <w:numId w:val="11"/>
      </w:numPr>
    </w:pPr>
  </w:style>
  <w:style w:type="numbering" w:customStyle="1" w:styleId="WWOutlineListStyle2">
    <w:name w:val="WW_OutlineListStyle_2"/>
    <w:basedOn w:val="Bezpopisa"/>
    <w:pPr>
      <w:numPr>
        <w:numId w:val="12"/>
      </w:numPr>
    </w:pPr>
  </w:style>
  <w:style w:type="numbering" w:customStyle="1" w:styleId="WWOutlineListStyle1">
    <w:name w:val="WW_OutlineListStyle_1"/>
    <w:basedOn w:val="Bezpopisa"/>
    <w:pPr>
      <w:numPr>
        <w:numId w:val="13"/>
      </w:numPr>
    </w:pPr>
  </w:style>
  <w:style w:type="numbering" w:customStyle="1" w:styleId="WWOutlineListStyle">
    <w:name w:val="WW_OutlineListStyle"/>
    <w:basedOn w:val="Bezpopis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Karić</cp:lastModifiedBy>
  <cp:revision>2</cp:revision>
  <cp:lastPrinted>2023-11-06T06:54:00Z</cp:lastPrinted>
  <dcterms:created xsi:type="dcterms:W3CDTF">2025-10-28T10:00:00Z</dcterms:created>
  <dcterms:modified xsi:type="dcterms:W3CDTF">2025-10-28T10:00:00Z</dcterms:modified>
</cp:coreProperties>
</file>