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7FB8" w14:textId="77777777" w:rsidR="004B7230" w:rsidRDefault="00000000">
      <w:pPr>
        <w:ind w:left="-57" w:right="-57"/>
      </w:pPr>
      <w:r>
        <w:t xml:space="preserve">   </w:t>
      </w:r>
      <w:r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  <w:noProof/>
        </w:rPr>
        <w:drawing>
          <wp:inline distT="0" distB="0" distL="0" distR="0" wp14:anchorId="2C389C7A" wp14:editId="12D7C459">
            <wp:extent cx="752478" cy="952503"/>
            <wp:effectExtent l="0" t="0" r="9522" b="0"/>
            <wp:docPr id="603932287" name="Slika 1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ab/>
        <w:t xml:space="preserve">                  </w:t>
      </w:r>
      <w:r>
        <w:rPr>
          <w:noProof/>
        </w:rPr>
        <w:drawing>
          <wp:inline distT="0" distB="0" distL="0" distR="0" wp14:anchorId="7A943D81" wp14:editId="24088064">
            <wp:extent cx="2457450" cy="723903"/>
            <wp:effectExtent l="0" t="0" r="0" b="0"/>
            <wp:docPr id="160731983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E97B3A" w14:textId="77777777" w:rsidR="004B7230" w:rsidRDefault="00000000">
      <w:pPr>
        <w:ind w:left="-57" w:right="-57"/>
      </w:pPr>
      <w:r>
        <w:rPr>
          <w:rFonts w:ascii="Comic Sans MS" w:hAnsi="Comic Sans MS"/>
          <w:b/>
        </w:rPr>
        <w:t xml:space="preserve">    </w:t>
      </w:r>
      <w:r>
        <w:rPr>
          <w:b/>
        </w:rPr>
        <w:t>REPUBLIKA HRVATSKA</w:t>
      </w:r>
    </w:p>
    <w:p w14:paraId="1029418E" w14:textId="77777777" w:rsidR="004B7230" w:rsidRDefault="00000000">
      <w:pPr>
        <w:ind w:left="-57" w:right="-57"/>
        <w:rPr>
          <w:b/>
        </w:rPr>
      </w:pPr>
      <w:r>
        <w:rPr>
          <w:b/>
        </w:rPr>
        <w:t xml:space="preserve">  BJELOVARSKO-BILOGORSKA</w:t>
      </w:r>
    </w:p>
    <w:p w14:paraId="19C4A421" w14:textId="77777777" w:rsidR="004B7230" w:rsidRDefault="00000000">
      <w:pPr>
        <w:ind w:left="-57" w:right="-57"/>
        <w:rPr>
          <w:b/>
        </w:rPr>
      </w:pPr>
      <w:r>
        <w:rPr>
          <w:b/>
        </w:rPr>
        <w:t xml:space="preserve">               Ž U P A N I J A</w:t>
      </w:r>
    </w:p>
    <w:p w14:paraId="27D93AAA" w14:textId="77777777" w:rsidR="004B7230" w:rsidRDefault="00000000">
      <w:pPr>
        <w:ind w:left="-57" w:right="-57"/>
        <w:rPr>
          <w:b/>
        </w:rPr>
      </w:pPr>
      <w:r>
        <w:rPr>
          <w:b/>
        </w:rPr>
        <w:t xml:space="preserve">       OPĆINA ŠANDROVAC</w:t>
      </w:r>
    </w:p>
    <w:p w14:paraId="53AC59D5" w14:textId="77777777" w:rsidR="004B7230" w:rsidRDefault="00000000">
      <w:pPr>
        <w:ind w:left="-57" w:right="-57"/>
      </w:pPr>
      <w:r>
        <w:rPr>
          <w:b/>
        </w:rPr>
        <w:t xml:space="preserve">       OPĆINSKI NAČELNIK</w:t>
      </w:r>
    </w:p>
    <w:p w14:paraId="15FF2490" w14:textId="77777777" w:rsidR="004B7230" w:rsidRDefault="004B7230">
      <w:pPr>
        <w:ind w:left="-57" w:right="-57"/>
        <w:rPr>
          <w:color w:val="000000"/>
        </w:rPr>
      </w:pPr>
    </w:p>
    <w:p w14:paraId="782A562A" w14:textId="77777777" w:rsidR="004B7230" w:rsidRDefault="00000000">
      <w:pPr>
        <w:tabs>
          <w:tab w:val="center" w:pos="2410"/>
        </w:tabs>
        <w:ind w:left="-57" w:right="-57"/>
        <w:jc w:val="both"/>
      </w:pPr>
      <w:bookmarkStart w:id="0" w:name="_Hlk180757232"/>
      <w:r>
        <w:rPr>
          <w:b/>
          <w:color w:val="000000"/>
        </w:rPr>
        <w:t xml:space="preserve">KLASA:  </w:t>
      </w:r>
      <w:r>
        <w:rPr>
          <w:b/>
          <w:bCs/>
          <w:color w:val="000000"/>
        </w:rPr>
        <w:t>320-01/25-01/8</w:t>
      </w:r>
    </w:p>
    <w:p w14:paraId="0B388FC2" w14:textId="77777777" w:rsidR="004B7230" w:rsidRDefault="00000000">
      <w:pPr>
        <w:tabs>
          <w:tab w:val="center" w:pos="2410"/>
        </w:tabs>
        <w:ind w:left="-57" w:right="-57"/>
        <w:jc w:val="both"/>
      </w:pPr>
      <w:r>
        <w:rPr>
          <w:b/>
        </w:rPr>
        <w:t>URBROJ: 2103-15-03-25-2</w:t>
      </w:r>
    </w:p>
    <w:p w14:paraId="13EFBAC1" w14:textId="77777777" w:rsidR="004B7230" w:rsidRDefault="00000000">
      <w:pPr>
        <w:ind w:left="-57" w:right="-57"/>
        <w:rPr>
          <w:b/>
        </w:rPr>
      </w:pPr>
      <w:r>
        <w:rPr>
          <w:b/>
        </w:rPr>
        <w:t>U Šandrovcu, 28.10.2025.</w:t>
      </w:r>
    </w:p>
    <w:p w14:paraId="6EDC3735" w14:textId="77777777" w:rsidR="004B7230" w:rsidRDefault="004B7230">
      <w:pPr>
        <w:spacing w:line="360" w:lineRule="auto"/>
        <w:rPr>
          <w:color w:val="000000"/>
          <w:sz w:val="20"/>
        </w:rPr>
      </w:pPr>
    </w:p>
    <w:p w14:paraId="113ED5D5" w14:textId="77777777" w:rsidR="004B7230" w:rsidRDefault="00000000">
      <w:pPr>
        <w:ind w:left="-57" w:right="-57"/>
        <w:jc w:val="both"/>
      </w:pPr>
      <w:r>
        <w:rPr>
          <w:bCs/>
          <w:color w:val="000000"/>
        </w:rPr>
        <w:t xml:space="preserve">Na temelju članka 10. </w:t>
      </w:r>
      <w:r>
        <w:rPr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Fonts w:eastAsia="Calibri"/>
          <w:lang w:eastAsia="en-US"/>
        </w:rPr>
        <w:t xml:space="preserve">razdoblje 2023. – 2027. godine </w:t>
      </w:r>
      <w:r>
        <w:rPr>
          <w:bCs/>
          <w:color w:val="000000"/>
        </w:rPr>
        <w:t>(„Općinski glasnik Općine Šandrovac“ broj 06/2023.)</w:t>
      </w:r>
      <w:r>
        <w:rPr>
          <w:color w:val="FF0000"/>
        </w:rPr>
        <w:t xml:space="preserve"> </w:t>
      </w:r>
      <w:r>
        <w:rPr>
          <w:color w:val="000000"/>
        </w:rPr>
        <w:t>i</w:t>
      </w:r>
      <w:r>
        <w:rPr>
          <w:bCs/>
          <w:color w:val="000000"/>
        </w:rPr>
        <w:t xml:space="preserve"> članka 58. stavka 1. točke  2. Statuta Općine Šandrovac („Općinski glasnik Općine Šandrovac“ broj 01/2021, 06/2021, 08/2023), Općinski načelnik Općine Šandrovac </w:t>
      </w:r>
      <w:r>
        <w:rPr>
          <w:color w:val="000000"/>
        </w:rPr>
        <w:t>objavljuje sljedeći</w:t>
      </w:r>
    </w:p>
    <w:bookmarkEnd w:id="0"/>
    <w:p w14:paraId="329DFD4F" w14:textId="77777777" w:rsidR="004B7230" w:rsidRDefault="004B7230">
      <w:pPr>
        <w:jc w:val="center"/>
        <w:rPr>
          <w:b/>
        </w:rPr>
      </w:pPr>
    </w:p>
    <w:p w14:paraId="720B8AA0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 w14:paraId="3FD20E8A" w14:textId="77777777" w:rsidR="004B7230" w:rsidRDefault="00000000">
      <w:pPr>
        <w:jc w:val="center"/>
      </w:pPr>
      <w:r>
        <w:rPr>
          <w:rFonts w:eastAsia="Calibri"/>
          <w:b/>
          <w:color w:val="000000"/>
          <w:lang w:eastAsia="en-US"/>
        </w:rPr>
        <w:t>za dodjelu potpore za navodnjavanje</w:t>
      </w:r>
    </w:p>
    <w:p w14:paraId="7884AC0E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 području Općine Šandrovac</w:t>
      </w:r>
    </w:p>
    <w:p w14:paraId="14C992D2" w14:textId="77777777" w:rsidR="004B7230" w:rsidRDefault="004B7230">
      <w:pPr>
        <w:rPr>
          <w:rFonts w:eastAsia="Calibri"/>
          <w:b/>
          <w:color w:val="000000"/>
          <w:lang w:eastAsia="en-US"/>
        </w:rPr>
      </w:pPr>
    </w:p>
    <w:p w14:paraId="14122DFA" w14:textId="77777777" w:rsidR="004B7230" w:rsidRDefault="004B7230">
      <w:pPr>
        <w:rPr>
          <w:rFonts w:eastAsia="Calibri"/>
          <w:b/>
          <w:color w:val="000000"/>
          <w:lang w:eastAsia="en-US"/>
        </w:rPr>
      </w:pPr>
    </w:p>
    <w:p w14:paraId="187A7F54" w14:textId="77777777" w:rsidR="004B7230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I. PREDMET JAVNOG POZIVA</w:t>
      </w:r>
    </w:p>
    <w:p w14:paraId="2E737323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 w14:paraId="1E14D358" w14:textId="77777777" w:rsidR="004B7230" w:rsidRDefault="00000000">
      <w:pPr>
        <w:jc w:val="both"/>
      </w:pPr>
      <w:r>
        <w:rPr>
          <w:color w:val="000000"/>
        </w:rPr>
        <w:t xml:space="preserve">Predmet ovog javnog poziva je prikupljanje zahtjeva za dodjelu potpora male vrijednosti iz Proračuna Općine Šandrovac za 2025. godinu </w:t>
      </w:r>
      <w:r>
        <w:rPr>
          <w:rFonts w:eastAsia="Calibri"/>
          <w:color w:val="000000"/>
          <w:lang w:eastAsia="en-US"/>
        </w:rPr>
        <w:t xml:space="preserve">za navodnjavanje - </w:t>
      </w:r>
      <w:r>
        <w:rPr>
          <w:color w:val="000000"/>
        </w:rPr>
        <w:t xml:space="preserve">poljoprivrednim gospodarstvima </w:t>
      </w:r>
      <w:r>
        <w:rPr>
          <w:rFonts w:eastAsia="Calibri"/>
          <w:color w:val="000000"/>
          <w:lang w:eastAsia="en-US"/>
        </w:rPr>
        <w:t>sa područja Općine Šandrovac.</w:t>
      </w:r>
      <w:r>
        <w:rPr>
          <w:color w:val="000000"/>
        </w:rPr>
        <w:t xml:space="preserve"> </w:t>
      </w:r>
    </w:p>
    <w:p w14:paraId="1FFC9157" w14:textId="77777777" w:rsidR="004B7230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nepovratna sredstva odobrena iz Proračuna Općine Šandrovac za 2025. godinu.</w:t>
      </w:r>
    </w:p>
    <w:p w14:paraId="37607D30" w14:textId="77777777" w:rsidR="004B7230" w:rsidRDefault="004B7230">
      <w:pPr>
        <w:jc w:val="both"/>
        <w:rPr>
          <w:rFonts w:eastAsia="Calibri"/>
          <w:color w:val="000000"/>
          <w:lang w:eastAsia="en-US"/>
        </w:rPr>
      </w:pPr>
    </w:p>
    <w:p w14:paraId="0BAF7853" w14:textId="77777777" w:rsidR="004B7230" w:rsidRDefault="004B7230">
      <w:pPr>
        <w:jc w:val="both"/>
        <w:rPr>
          <w:rFonts w:eastAsia="Calibri"/>
          <w:color w:val="000000"/>
          <w:lang w:eastAsia="en-US"/>
        </w:rPr>
      </w:pPr>
    </w:p>
    <w:p w14:paraId="65A7D27B" w14:textId="77777777" w:rsidR="004B7230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 w14:paraId="724299B7" w14:textId="77777777" w:rsidR="004B7230" w:rsidRDefault="004B7230">
      <w:pPr>
        <w:pStyle w:val="Odlomakpopisa"/>
        <w:ind w:left="0"/>
        <w:jc w:val="center"/>
        <w:rPr>
          <w:rFonts w:eastAsia="Calibri"/>
          <w:b/>
          <w:color w:val="000000"/>
          <w:lang w:eastAsia="en-US"/>
        </w:rPr>
      </w:pPr>
    </w:p>
    <w:p w14:paraId="000FE3F1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 w14:paraId="7CA83BBC" w14:textId="77777777" w:rsidR="004B7230" w:rsidRDefault="00000000">
      <w:pPr>
        <w:jc w:val="both"/>
      </w:pPr>
      <w:r>
        <w:t xml:space="preserve">Potpora obuhvaća izgradnju sustava za navodnjavanje na nasadima voćnjaka i povrća. </w:t>
      </w:r>
    </w:p>
    <w:p w14:paraId="5D089B6D" w14:textId="77777777" w:rsidR="004B7230" w:rsidRDefault="00000000">
      <w:pPr>
        <w:jc w:val="both"/>
      </w:pPr>
      <w:r>
        <w:t xml:space="preserve">Cilj potpore: stabiliziranje prinosa nasada, poglavito u profitabilnim proizvodnjama, te ukoliko se želi da poljoprivredna proizvodnja postane što manje ovisna o elementarnim klimatološkim nepogodama obavezna tehnološka mjera postaje sustav natapanja naročito kada je riječ o proizvodnji u voćarstvu i povrtlarstvu. </w:t>
      </w:r>
    </w:p>
    <w:p w14:paraId="2E3F7D17" w14:textId="77777777" w:rsidR="004B7230" w:rsidRDefault="004B7230">
      <w:pPr>
        <w:jc w:val="both"/>
      </w:pPr>
    </w:p>
    <w:p w14:paraId="54AEA2B0" w14:textId="77777777" w:rsidR="004B7230" w:rsidRDefault="00000000">
      <w:pPr>
        <w:jc w:val="both"/>
      </w:pPr>
      <w:r>
        <w:t>Potpora iznosi do 100,00 eura po ha za nabavu sustava za navodnjavanje (pumpa, cijevi, kapaljke i dr.), do maksimalnih 5,00 ha u jednoj kalendarskoj godini. Minimalna površina postavljanja sustava za navodnjavanje je 0,20 ha, a maksimalna do 5,00 ha.</w:t>
      </w:r>
    </w:p>
    <w:p w14:paraId="4AA410C7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Prihvatljivi troškovi su svi troškovi koji su nastali nakon 1. siječnja 2025. godine.</w:t>
      </w:r>
    </w:p>
    <w:p w14:paraId="13249024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Potpore se ne dodjeljuju za troškove PDV-a i drugih poreza, carina ili sličnih troškova.</w:t>
      </w:r>
    </w:p>
    <w:p w14:paraId="7CBA737D" w14:textId="77777777" w:rsidR="004B7230" w:rsidRPr="00AB67B3" w:rsidRDefault="004B7230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7ED8E61" w14:textId="77777777" w:rsidR="004B7230" w:rsidRPr="00AB67B3" w:rsidRDefault="00000000">
      <w:pPr>
        <w:pStyle w:val="Bezproreda"/>
        <w:jc w:val="both"/>
        <w:rPr>
          <w:lang w:val="pl-PL"/>
        </w:rPr>
      </w:pPr>
      <w:r w:rsidRPr="00AB67B3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 xml:space="preserve">U postupku odobravanja potpore primjenjuju se odredbe važeće </w:t>
      </w:r>
      <w:r w:rsidRPr="00AB67B3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Uredbe Komisije EU broj 1408/2013 od 18. prosinca 2013. godine o primjeni članka 107. i 108. Ugovora o financiranju Europske unije na potpore de minimis u poljoprivrednom sektoru </w:t>
      </w:r>
      <w:bookmarkStart w:id="1" w:name="_Hlk86749060"/>
      <w:r w:rsidRPr="00AB67B3">
        <w:rPr>
          <w:rFonts w:ascii="Times New Roman" w:hAnsi="Times New Roman"/>
          <w:color w:val="000000"/>
          <w:sz w:val="24"/>
          <w:szCs w:val="24"/>
          <w:lang w:val="pl-PL"/>
        </w:rPr>
        <w:t>(SL L 352, 24.12.2013.) i Uredbom Komisije (EU) 2019/316 od 21. veljače 2019. o izmjeni Uredbe (EU) br. 1408/2013 o promjeni članka 107. i 108. Ugovora o funkcioniranju Europske unije na potpore de minimis u poljoprivrednom sektoru (SL L 51/1, 22.2.2019.) (dalje u tekstu: Uredba 1408/2013).</w:t>
      </w:r>
    </w:p>
    <w:p w14:paraId="0F7BDE68" w14:textId="77777777" w:rsidR="004B7230" w:rsidRPr="00AB67B3" w:rsidRDefault="004B7230">
      <w:pPr>
        <w:pStyle w:val="Bezproreda"/>
        <w:jc w:val="both"/>
        <w:rPr>
          <w:color w:val="000000"/>
          <w:lang w:val="pl-PL"/>
        </w:rPr>
      </w:pPr>
    </w:p>
    <w:bookmarkEnd w:id="1"/>
    <w:p w14:paraId="1E0FF3FB" w14:textId="77777777" w:rsidR="004B7230" w:rsidRDefault="004B7230">
      <w:pPr>
        <w:rPr>
          <w:b/>
        </w:rPr>
      </w:pPr>
    </w:p>
    <w:p w14:paraId="650FA080" w14:textId="77777777" w:rsidR="004B7230" w:rsidRDefault="00000000">
      <w:pPr>
        <w:rPr>
          <w:b/>
        </w:rPr>
      </w:pPr>
      <w:r>
        <w:rPr>
          <w:b/>
        </w:rPr>
        <w:t>III. UVJETI ZA PODNOŠENJE ZAHTJEVA ZA POTPORU</w:t>
      </w:r>
    </w:p>
    <w:p w14:paraId="238D30CF" w14:textId="77777777" w:rsidR="004B7230" w:rsidRDefault="004B7230">
      <w:pPr>
        <w:rPr>
          <w:b/>
        </w:rPr>
      </w:pPr>
    </w:p>
    <w:p w14:paraId="7A9634A9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 w14:paraId="6F6F31D3" w14:textId="77777777" w:rsidR="004B7230" w:rsidRDefault="00000000">
      <w:r>
        <w:t xml:space="preserve">Uvjeti za dodjelu potpore su: </w:t>
      </w:r>
    </w:p>
    <w:p w14:paraId="17D7645D" w14:textId="77777777" w:rsidR="004B7230" w:rsidRDefault="00000000">
      <w:r>
        <w:t xml:space="preserve">-korisnici mogu biti poljoprivredna gospodarstva (OPG, obrti, trgovačka društva, zadruge registrirane za obavljanje poljoprivredne djelatnosti) upisana u Upisnik poljoprivrednih gospodarstava, </w:t>
      </w:r>
    </w:p>
    <w:p w14:paraId="3D320F3D" w14:textId="77777777" w:rsidR="004B7230" w:rsidRDefault="00000000">
      <w:r>
        <w:t>- sjedište poljoprivrednog gospodarstva treba biti na području Općine Šandrovac,</w:t>
      </w:r>
    </w:p>
    <w:p w14:paraId="447F6DA1" w14:textId="77777777" w:rsidR="004B7230" w:rsidRDefault="00000000">
      <w:r>
        <w:t xml:space="preserve">- trošak treba biti izvršen u tekućoj godini, a prije podnošenja zahtjeva za isplatu, </w:t>
      </w:r>
    </w:p>
    <w:p w14:paraId="679D847D" w14:textId="77777777" w:rsidR="004B7230" w:rsidRDefault="00000000">
      <w:r>
        <w:t>- potpora će se isplaćivati po ispostavljenom originalnom računu, a nakon izvršene kontrole od strane JUO Općine Šandrovac.</w:t>
      </w:r>
    </w:p>
    <w:p w14:paraId="20F0A8CC" w14:textId="77777777" w:rsidR="004B7230" w:rsidRDefault="004B7230"/>
    <w:p w14:paraId="4B88577A" w14:textId="77777777" w:rsidR="004B7230" w:rsidRDefault="004B7230">
      <w:pPr>
        <w:rPr>
          <w:rFonts w:eastAsia="Calibri"/>
          <w:b/>
          <w:color w:val="000000"/>
          <w:lang w:eastAsia="en-US"/>
        </w:rPr>
      </w:pPr>
    </w:p>
    <w:p w14:paraId="4890B418" w14:textId="77777777" w:rsidR="004B7230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 w14:paraId="7259CF36" w14:textId="77777777" w:rsidR="004B7230" w:rsidRDefault="004B7230">
      <w:pPr>
        <w:rPr>
          <w:rFonts w:eastAsia="Calibri"/>
          <w:b/>
          <w:color w:val="000000"/>
          <w:lang w:eastAsia="en-US"/>
        </w:rPr>
      </w:pPr>
    </w:p>
    <w:p w14:paraId="7A6F4A4B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 w14:paraId="1A820CDE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Potpore se odobravaju temeljem podnesenih zahtjeva za dodjelu potpora na propisanim obrascima.</w:t>
      </w:r>
    </w:p>
    <w:p w14:paraId="0A34709A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Podnositelj zahtjeva, uz obrazac zahtjeva za odobravanje potpore (Prilog 1) mora priložiti sljedeću dokumentaciju:</w:t>
      </w:r>
    </w:p>
    <w:p w14:paraId="18D07028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1. preslik rješenja o upisu u Upisnik poljoprivrednih gospodarstava (ukoliko je podnositelj zahtjeva obrtnik i preslika obrtnice),</w:t>
      </w:r>
    </w:p>
    <w:p w14:paraId="0F6B6874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2. originalni račun izdan od strane nadležnog tijela, sa priloženom specifikacijom po pojedinom korisniku i datumom izdavanja u tekućoj godini,</w:t>
      </w:r>
    </w:p>
    <w:p w14:paraId="2692ED47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 dvije godine na propisanom obrascu,</w:t>
      </w:r>
    </w:p>
    <w:p w14:paraId="6DA58D0A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4. izjava da li je na način propisan člankom 2. Uredbe 1408/2013 korisnik povezan sa ostalim</w:t>
      </w:r>
    </w:p>
    <w:p w14:paraId="0320A715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poduzetnicima (ispunjavaju samo pravne osobe),</w:t>
      </w:r>
    </w:p>
    <w:p w14:paraId="16B67A38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5. izjava o nepostojanju dvostrukog financiranja istih troškova,</w:t>
      </w:r>
    </w:p>
    <w:p w14:paraId="717B628D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6. preslika osobne iskaznice nositelja poljoprivrednog gospodarstva (OPG, obrti, trgovačka društva, zadruge registrirane za obavljanje poljoprivredne djelatnosti) upisana u Upisnik poljoprivrednih gospodarstava, odnosno preslika rješenja o Upisu u sudski registar – za pravne osobe,</w:t>
      </w:r>
    </w:p>
    <w:p w14:paraId="2580B283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 w14:paraId="554D05A9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 w14:paraId="06DEF579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9. preslika IBAN računa podnositelja zahtjeva,</w:t>
      </w:r>
    </w:p>
    <w:p w14:paraId="327BC49A" w14:textId="77777777" w:rsidR="004B7230" w:rsidRDefault="00000000">
      <w:pPr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podataka.</w:t>
      </w:r>
    </w:p>
    <w:p w14:paraId="513210C6" w14:textId="77777777" w:rsidR="004B7230" w:rsidRDefault="004B7230">
      <w:pPr>
        <w:jc w:val="both"/>
        <w:rPr>
          <w:rFonts w:eastAsia="Calibri"/>
          <w:lang w:eastAsia="en-US"/>
        </w:rPr>
      </w:pPr>
    </w:p>
    <w:p w14:paraId="08BA6B0D" w14:textId="77777777" w:rsidR="004B7230" w:rsidRDefault="004B7230">
      <w:pPr>
        <w:jc w:val="center"/>
        <w:rPr>
          <w:rFonts w:eastAsia="Calibri"/>
          <w:b/>
          <w:color w:val="000000"/>
          <w:lang w:eastAsia="en-US"/>
        </w:rPr>
      </w:pPr>
    </w:p>
    <w:p w14:paraId="72A99382" w14:textId="77777777" w:rsidR="004B7230" w:rsidRDefault="004B7230">
      <w:pPr>
        <w:jc w:val="center"/>
        <w:rPr>
          <w:rFonts w:eastAsia="Calibri"/>
          <w:b/>
          <w:color w:val="000000"/>
          <w:lang w:eastAsia="en-US"/>
        </w:rPr>
      </w:pPr>
    </w:p>
    <w:p w14:paraId="6E8CCE7F" w14:textId="77777777" w:rsidR="004B7230" w:rsidRDefault="004B7230">
      <w:pPr>
        <w:jc w:val="center"/>
        <w:rPr>
          <w:rFonts w:eastAsia="Calibri"/>
          <w:b/>
          <w:color w:val="000000"/>
          <w:lang w:eastAsia="en-US"/>
        </w:rPr>
      </w:pPr>
    </w:p>
    <w:p w14:paraId="2ADACA1C" w14:textId="77777777" w:rsidR="004B7230" w:rsidRDefault="004B7230">
      <w:pPr>
        <w:jc w:val="center"/>
        <w:rPr>
          <w:rFonts w:eastAsia="Calibri"/>
          <w:b/>
          <w:color w:val="000000"/>
          <w:lang w:eastAsia="en-US"/>
        </w:rPr>
      </w:pPr>
    </w:p>
    <w:p w14:paraId="26886446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lastRenderedPageBreak/>
        <w:t>Članak 5.</w:t>
      </w:r>
    </w:p>
    <w:p w14:paraId="597B8B93" w14:textId="77777777" w:rsidR="004B7230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3. Uredbe 1408/2013 ukupan iznos potpora male vrijednosti  koji je dodijeljen jednom poduzetniku ne smije prijeći iznos od 20.000,00 EUR-a  tijekom razdoblja od tri fiskalne godine  te se ta gornja granica  primjenjuje  bez obzira na oblik ili svrhu potpore.</w:t>
      </w:r>
    </w:p>
    <w:p w14:paraId="73A65E71" w14:textId="77777777" w:rsidR="004B7230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5081FF4C" w14:textId="77777777" w:rsidR="004B7230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 državne potpore dužan je korisniku potpore dostaviti obavijest da mu je dodijeljena potpora male vrijednosti sukladno Uredbi 1408/2013.</w:t>
      </w:r>
    </w:p>
    <w:p w14:paraId="262BF654" w14:textId="77777777" w:rsidR="004B7230" w:rsidRDefault="004B7230">
      <w:pPr>
        <w:jc w:val="both"/>
        <w:rPr>
          <w:rFonts w:eastAsia="Calibri"/>
          <w:lang w:eastAsia="en-US"/>
        </w:rPr>
      </w:pPr>
    </w:p>
    <w:p w14:paraId="7F95C7AF" w14:textId="77777777" w:rsidR="004B7230" w:rsidRDefault="00000000">
      <w:pPr>
        <w:rPr>
          <w:b/>
        </w:rPr>
      </w:pPr>
      <w:r>
        <w:rPr>
          <w:b/>
        </w:rPr>
        <w:t>V. NAČIN, MJESTO I ROK PODNOŠENJA ZAHTJEVA</w:t>
      </w:r>
    </w:p>
    <w:p w14:paraId="301A763E" w14:textId="77777777" w:rsidR="004B7230" w:rsidRDefault="004B7230">
      <w:pPr>
        <w:rPr>
          <w:b/>
        </w:rPr>
      </w:pPr>
    </w:p>
    <w:p w14:paraId="0236F122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 w14:paraId="10CD5935" w14:textId="77777777" w:rsidR="004B7230" w:rsidRDefault="00000000">
      <w:pPr>
        <w:jc w:val="both"/>
      </w:pPr>
      <w:r>
        <w:rPr>
          <w:rFonts w:eastAsia="Calibri"/>
          <w:color w:val="000000"/>
          <w:lang w:eastAsia="en-US"/>
        </w:rPr>
        <w:t>Zahtjevi za dodjelu potpore dost</w:t>
      </w:r>
      <w:r>
        <w:rPr>
          <w:color w:val="000000"/>
        </w:rPr>
        <w:t xml:space="preserve">avljaju se unutar roka za dostavu zahtjeva odnosno od </w:t>
      </w:r>
      <w:bookmarkStart w:id="2" w:name="_Hlk180757276"/>
      <w:r>
        <w:rPr>
          <w:color w:val="000000"/>
        </w:rPr>
        <w:t xml:space="preserve">28. listopada do 28. studenog 2025. godine do 15,00 sati, odnosno do utroška sredstava planiranih u proračunu Općine Šandrovac za 2025. godinu. </w:t>
      </w:r>
    </w:p>
    <w:bookmarkEnd w:id="2"/>
    <w:p w14:paraId="30E3EE0B" w14:textId="77777777" w:rsidR="004B7230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</w:t>
      </w:r>
      <w:r>
        <w:rPr>
          <w:color w:val="000000"/>
        </w:rPr>
        <w:t xml:space="preserve">dostavljaju se na adresu Općine Šandrovac, Bjelovarska 6, 43227 Šandrovac, osobno i neposredno ili preporučeno poštom u zatvorenoj omotnici. Na omotnici treba naznačiti „POTPORE – NAVODNJAVANJE“ </w:t>
      </w:r>
    </w:p>
    <w:p w14:paraId="332FF7C9" w14:textId="77777777" w:rsidR="004B7230" w:rsidRDefault="004B7230">
      <w:pPr>
        <w:rPr>
          <w:b/>
        </w:rPr>
      </w:pPr>
    </w:p>
    <w:p w14:paraId="5241A10D" w14:textId="77777777" w:rsidR="004B7230" w:rsidRDefault="00000000">
      <w:pPr>
        <w:rPr>
          <w:b/>
        </w:rPr>
      </w:pPr>
      <w:r>
        <w:rPr>
          <w:b/>
        </w:rPr>
        <w:t>VI. OSTALE INFORMACIJE</w:t>
      </w:r>
    </w:p>
    <w:p w14:paraId="3ACC510E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 w14:paraId="4B4E5E0D" w14:textId="77777777" w:rsidR="004B7230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 w14:paraId="187AFC01" w14:textId="77777777" w:rsidR="004B7230" w:rsidRDefault="00000000">
      <w:pPr>
        <w:jc w:val="both"/>
      </w:pPr>
      <w:r>
        <w:rPr>
          <w:rFonts w:eastAsia="Calibri"/>
          <w:lang w:eastAsia="en-US"/>
        </w:rPr>
        <w:t>Pojedini korisnik potpore može kombinirati korištenje svih mjera propisanih člankom 5. Programa potpora poljoprivredi na području Općine Šandrovac za razdoblje 2023. – 2027. godine (dalje: Program)</w:t>
      </w:r>
      <w:r>
        <w:rPr>
          <w:b/>
        </w:rPr>
        <w:t xml:space="preserve"> </w:t>
      </w:r>
      <w:r>
        <w:rPr>
          <w:rFonts w:eastAsia="Calibri"/>
          <w:lang w:eastAsia="en-US"/>
        </w:rPr>
        <w:t>do maksimalnog godišnjeg iznosa od 600,00 eura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koji mu je na raspolaganju.</w:t>
      </w:r>
    </w:p>
    <w:p w14:paraId="41227FB1" w14:textId="77777777" w:rsidR="004B7230" w:rsidRDefault="004B7230">
      <w:pPr>
        <w:jc w:val="both"/>
        <w:rPr>
          <w:rFonts w:eastAsia="Calibri"/>
          <w:color w:val="000000"/>
          <w:lang w:eastAsia="en-US"/>
        </w:rPr>
      </w:pPr>
    </w:p>
    <w:p w14:paraId="63896E28" w14:textId="77777777" w:rsidR="004B7230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 w14:paraId="2A53F1F6" w14:textId="77777777" w:rsidR="004B7230" w:rsidRDefault="004B7230">
      <w:pPr>
        <w:jc w:val="both"/>
        <w:rPr>
          <w:rFonts w:eastAsia="Calibri"/>
          <w:b/>
          <w:color w:val="000000"/>
          <w:lang w:eastAsia="en-US"/>
        </w:rPr>
      </w:pPr>
    </w:p>
    <w:p w14:paraId="717646C0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 w14:paraId="61853287" w14:textId="77777777" w:rsidR="004B7230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provedbu Programa zadužuje se Jedinstveni upravni odjel Općine Šandrovac, koji je ovlašten procijeniti vjerodostojnost podnijete dokumentacije i dokaza, te u slučaju sumnje u vjerodostojnost ovlašten je odbaciti zahtjev odnosno naložiti obvezu povrata potpore. </w:t>
      </w:r>
    </w:p>
    <w:p w14:paraId="4DF04BC5" w14:textId="77777777" w:rsidR="004B7230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Općine Šandrovac na prijedlog Jedinstvenog upravnog odjela Općine Šandrovac.</w:t>
      </w:r>
    </w:p>
    <w:p w14:paraId="16979F88" w14:textId="77777777" w:rsidR="004B7230" w:rsidRDefault="00000000">
      <w:pPr>
        <w:jc w:val="both"/>
      </w:pPr>
      <w:r>
        <w:t xml:space="preserve">Ukoliko nakon izvršene kontrole na terenu te podnesene dokumentacije od strane korisnika, </w:t>
      </w:r>
      <w:r>
        <w:rPr>
          <w:rFonts w:eastAsia="Calibri"/>
          <w:lang w:eastAsia="en-US"/>
        </w:rPr>
        <w:t>Jedinstveni upravni odjel Općine Šandrovac</w:t>
      </w:r>
      <w:r>
        <w:t xml:space="preserve"> utvrdi nepravilnosti u postupku korištenja potpore, Općinski načelnik Općine Šandrovac utvrditi će obvezu povrata dobivenih sredstava potpore.  </w:t>
      </w:r>
    </w:p>
    <w:p w14:paraId="51CFEB83" w14:textId="77777777" w:rsidR="004B7230" w:rsidRDefault="004B7230">
      <w:pPr>
        <w:jc w:val="both"/>
        <w:rPr>
          <w:rFonts w:eastAsia="Calibri"/>
          <w:color w:val="000000"/>
          <w:lang w:eastAsia="en-US"/>
        </w:rPr>
      </w:pPr>
    </w:p>
    <w:p w14:paraId="308AE8E4" w14:textId="77777777" w:rsidR="004B7230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 w14:paraId="5C1546AC" w14:textId="77777777" w:rsidR="004B723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 w14:paraId="37451824" w14:textId="77777777" w:rsidR="004B7230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 w14:paraId="70BBE6E1" w14:textId="77777777" w:rsidR="004B7230" w:rsidRDefault="00000000">
      <w:pPr>
        <w:jc w:val="both"/>
      </w:pPr>
      <w:r>
        <w:t>Sve informacije mogu se dobiti u Jedinstvenom upravnom odjelu Općine Šandrovac osobno ili na broj telefona 043/874128.</w:t>
      </w:r>
    </w:p>
    <w:p w14:paraId="739542B7" w14:textId="77777777" w:rsidR="004B7230" w:rsidRDefault="004B7230">
      <w:pPr>
        <w:jc w:val="both"/>
      </w:pPr>
    </w:p>
    <w:p w14:paraId="402D65C9" w14:textId="77777777" w:rsidR="004B7230" w:rsidRDefault="00000000">
      <w:pPr>
        <w:jc w:val="center"/>
      </w:pPr>
      <w:r>
        <w:t>Općinski načelnik Općine Šandrovac</w:t>
      </w:r>
    </w:p>
    <w:p w14:paraId="28A69AE0" w14:textId="77777777" w:rsidR="004B7230" w:rsidRDefault="00000000">
      <w:pPr>
        <w:jc w:val="center"/>
      </w:pPr>
      <w:r>
        <w:t xml:space="preserve">Dario </w:t>
      </w:r>
      <w:proofErr w:type="spellStart"/>
      <w:r>
        <w:t>Halauš</w:t>
      </w:r>
      <w:proofErr w:type="spellEnd"/>
      <w:r>
        <w:t xml:space="preserve">, </w:t>
      </w:r>
      <w:proofErr w:type="spellStart"/>
      <w:r>
        <w:t>mag.ing.agr</w:t>
      </w:r>
      <w:proofErr w:type="spellEnd"/>
      <w:r>
        <w:t>.</w:t>
      </w:r>
    </w:p>
    <w:p w14:paraId="1A904876" w14:textId="77777777" w:rsidR="004B7230" w:rsidRDefault="004B7230">
      <w:pPr>
        <w:jc w:val="center"/>
      </w:pPr>
    </w:p>
    <w:sectPr w:rsidR="004B723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5F1D" w14:textId="77777777" w:rsidR="00DB05DB" w:rsidRDefault="00DB05DB">
      <w:r>
        <w:separator/>
      </w:r>
    </w:p>
  </w:endnote>
  <w:endnote w:type="continuationSeparator" w:id="0">
    <w:p w14:paraId="30A3CD16" w14:textId="77777777" w:rsidR="00DB05DB" w:rsidRDefault="00DB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1857" w14:textId="77777777" w:rsidR="00DB05DB" w:rsidRDefault="00DB05DB">
      <w:r>
        <w:rPr>
          <w:color w:val="000000"/>
        </w:rPr>
        <w:separator/>
      </w:r>
    </w:p>
  </w:footnote>
  <w:footnote w:type="continuationSeparator" w:id="0">
    <w:p w14:paraId="06C3AF5D" w14:textId="77777777" w:rsidR="00DB05DB" w:rsidRDefault="00DB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540"/>
    <w:multiLevelType w:val="multilevel"/>
    <w:tmpl w:val="122C757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763D96"/>
    <w:multiLevelType w:val="multilevel"/>
    <w:tmpl w:val="AD8A3762"/>
    <w:styleLink w:val="WWOutlineListStyle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DEB1643"/>
    <w:multiLevelType w:val="multilevel"/>
    <w:tmpl w:val="66069586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5841542"/>
    <w:multiLevelType w:val="multilevel"/>
    <w:tmpl w:val="5C64BB82"/>
    <w:styleLink w:val="WWOutlineListStyle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79859BF"/>
    <w:multiLevelType w:val="multilevel"/>
    <w:tmpl w:val="6654274C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BA76130"/>
    <w:multiLevelType w:val="multilevel"/>
    <w:tmpl w:val="8236D562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16A6D4B"/>
    <w:multiLevelType w:val="multilevel"/>
    <w:tmpl w:val="521EBCA6"/>
    <w:styleLink w:val="WWOutlineListStyle1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350C499A"/>
    <w:multiLevelType w:val="multilevel"/>
    <w:tmpl w:val="A6DA88CA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91C0015"/>
    <w:multiLevelType w:val="multilevel"/>
    <w:tmpl w:val="95544248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5EB5EB7"/>
    <w:multiLevelType w:val="multilevel"/>
    <w:tmpl w:val="9E3E5B44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63E4D53"/>
    <w:multiLevelType w:val="multilevel"/>
    <w:tmpl w:val="43AA6434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540129E"/>
    <w:multiLevelType w:val="multilevel"/>
    <w:tmpl w:val="C2A856E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C8C15BB"/>
    <w:multiLevelType w:val="multilevel"/>
    <w:tmpl w:val="B53E869C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EB7389F"/>
    <w:multiLevelType w:val="multilevel"/>
    <w:tmpl w:val="CE2A9CC4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1C2651C"/>
    <w:multiLevelType w:val="multilevel"/>
    <w:tmpl w:val="584CB5EA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45117B0"/>
    <w:multiLevelType w:val="multilevel"/>
    <w:tmpl w:val="C6203DB8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02262003">
    <w:abstractNumId w:val="6"/>
  </w:num>
  <w:num w:numId="2" w16cid:durableId="2040667941">
    <w:abstractNumId w:val="1"/>
  </w:num>
  <w:num w:numId="3" w16cid:durableId="2003658687">
    <w:abstractNumId w:val="3"/>
  </w:num>
  <w:num w:numId="4" w16cid:durableId="154106364">
    <w:abstractNumId w:val="8"/>
  </w:num>
  <w:num w:numId="5" w16cid:durableId="184635231">
    <w:abstractNumId w:val="4"/>
  </w:num>
  <w:num w:numId="6" w16cid:durableId="157429068">
    <w:abstractNumId w:val="7"/>
  </w:num>
  <w:num w:numId="7" w16cid:durableId="564493793">
    <w:abstractNumId w:val="14"/>
  </w:num>
  <w:num w:numId="8" w16cid:durableId="494732594">
    <w:abstractNumId w:val="15"/>
  </w:num>
  <w:num w:numId="9" w16cid:durableId="1354578844">
    <w:abstractNumId w:val="12"/>
  </w:num>
  <w:num w:numId="10" w16cid:durableId="1673146973">
    <w:abstractNumId w:val="2"/>
  </w:num>
  <w:num w:numId="11" w16cid:durableId="1574315315">
    <w:abstractNumId w:val="10"/>
  </w:num>
  <w:num w:numId="12" w16cid:durableId="1570728519">
    <w:abstractNumId w:val="9"/>
  </w:num>
  <w:num w:numId="13" w16cid:durableId="1580099587">
    <w:abstractNumId w:val="13"/>
  </w:num>
  <w:num w:numId="14" w16cid:durableId="1708722373">
    <w:abstractNumId w:val="0"/>
  </w:num>
  <w:num w:numId="15" w16cid:durableId="1651320983">
    <w:abstractNumId w:val="5"/>
  </w:num>
  <w:num w:numId="16" w16cid:durableId="1531214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7230"/>
    <w:rsid w:val="004B7230"/>
    <w:rsid w:val="009E1593"/>
    <w:rsid w:val="00AB67B3"/>
    <w:rsid w:val="00D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5B9A"/>
  <w15:docId w15:val="{07EDF7A0-BE77-4B2E-B3FA-C1CF3D44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5">
    <w:name w:val="WW_OutlineListStyle_15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  <w:lang w:eastAsia="hr-HR"/>
    </w:rPr>
  </w:style>
  <w:style w:type="numbering" w:customStyle="1" w:styleId="WWOutlineListStyle14">
    <w:name w:val="WW_OutlineListStyle_14"/>
    <w:basedOn w:val="Bezpopisa"/>
    <w:pPr>
      <w:numPr>
        <w:numId w:val="2"/>
      </w:numPr>
    </w:pPr>
  </w:style>
  <w:style w:type="numbering" w:customStyle="1" w:styleId="WWOutlineListStyle13">
    <w:name w:val="WW_OutlineListStyle_13"/>
    <w:basedOn w:val="Bezpopisa"/>
    <w:pPr>
      <w:numPr>
        <w:numId w:val="3"/>
      </w:numPr>
    </w:pPr>
  </w:style>
  <w:style w:type="numbering" w:customStyle="1" w:styleId="WWOutlineListStyle12">
    <w:name w:val="WW_OutlineListStyle_12"/>
    <w:basedOn w:val="Bezpopisa"/>
    <w:pPr>
      <w:numPr>
        <w:numId w:val="4"/>
      </w:numPr>
    </w:pPr>
  </w:style>
  <w:style w:type="numbering" w:customStyle="1" w:styleId="WWOutlineListStyle11">
    <w:name w:val="WW_OutlineListStyle_11"/>
    <w:basedOn w:val="Bezpopisa"/>
    <w:pPr>
      <w:numPr>
        <w:numId w:val="5"/>
      </w:numPr>
    </w:pPr>
  </w:style>
  <w:style w:type="numbering" w:customStyle="1" w:styleId="WWOutlineListStyle10">
    <w:name w:val="WW_OutlineListStyle_10"/>
    <w:basedOn w:val="Bezpopisa"/>
    <w:pPr>
      <w:numPr>
        <w:numId w:val="6"/>
      </w:numPr>
    </w:pPr>
  </w:style>
  <w:style w:type="numbering" w:customStyle="1" w:styleId="WWOutlineListStyle9">
    <w:name w:val="WW_OutlineListStyle_9"/>
    <w:basedOn w:val="Bezpopisa"/>
    <w:pPr>
      <w:numPr>
        <w:numId w:val="7"/>
      </w:numPr>
    </w:pPr>
  </w:style>
  <w:style w:type="numbering" w:customStyle="1" w:styleId="WWOutlineListStyle8">
    <w:name w:val="WW_OutlineListStyle_8"/>
    <w:basedOn w:val="Bezpopisa"/>
    <w:pPr>
      <w:numPr>
        <w:numId w:val="8"/>
      </w:numPr>
    </w:pPr>
  </w:style>
  <w:style w:type="numbering" w:customStyle="1" w:styleId="WWOutlineListStyle7">
    <w:name w:val="WW_OutlineListStyle_7"/>
    <w:basedOn w:val="Bezpopisa"/>
    <w:pPr>
      <w:numPr>
        <w:numId w:val="9"/>
      </w:numPr>
    </w:pPr>
  </w:style>
  <w:style w:type="numbering" w:customStyle="1" w:styleId="WWOutlineListStyle6">
    <w:name w:val="WW_OutlineListStyle_6"/>
    <w:basedOn w:val="Bezpopisa"/>
    <w:pPr>
      <w:numPr>
        <w:numId w:val="10"/>
      </w:numPr>
    </w:pPr>
  </w:style>
  <w:style w:type="numbering" w:customStyle="1" w:styleId="WWOutlineListStyle5">
    <w:name w:val="WW_OutlineListStyle_5"/>
    <w:basedOn w:val="Bezpopisa"/>
    <w:pPr>
      <w:numPr>
        <w:numId w:val="11"/>
      </w:numPr>
    </w:pPr>
  </w:style>
  <w:style w:type="numbering" w:customStyle="1" w:styleId="WWOutlineListStyle4">
    <w:name w:val="WW_OutlineListStyle_4"/>
    <w:basedOn w:val="Bezpopisa"/>
    <w:pPr>
      <w:numPr>
        <w:numId w:val="12"/>
      </w:numPr>
    </w:pPr>
  </w:style>
  <w:style w:type="numbering" w:customStyle="1" w:styleId="WWOutlineListStyle3">
    <w:name w:val="WW_OutlineListStyle_3"/>
    <w:basedOn w:val="Bezpopisa"/>
    <w:pPr>
      <w:numPr>
        <w:numId w:val="13"/>
      </w:numPr>
    </w:pPr>
  </w:style>
  <w:style w:type="numbering" w:customStyle="1" w:styleId="WWOutlineListStyle2">
    <w:name w:val="WW_OutlineListStyle_2"/>
    <w:basedOn w:val="Bezpopisa"/>
    <w:pPr>
      <w:numPr>
        <w:numId w:val="14"/>
      </w:numPr>
    </w:pPr>
  </w:style>
  <w:style w:type="numbering" w:customStyle="1" w:styleId="WWOutlineListStyle1">
    <w:name w:val="WW_OutlineListStyle_1"/>
    <w:basedOn w:val="Bezpopisa"/>
    <w:pPr>
      <w:numPr>
        <w:numId w:val="15"/>
      </w:numPr>
    </w:pPr>
  </w:style>
  <w:style w:type="numbering" w:customStyle="1" w:styleId="WWOutlineListStyle">
    <w:name w:val="WW_OutlineListStyle"/>
    <w:basedOn w:val="Bezpopis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Spomenka Karić</cp:lastModifiedBy>
  <cp:revision>2</cp:revision>
  <cp:lastPrinted>2024-10-25T12:38:00Z</cp:lastPrinted>
  <dcterms:created xsi:type="dcterms:W3CDTF">2025-10-28T10:00:00Z</dcterms:created>
  <dcterms:modified xsi:type="dcterms:W3CDTF">2025-10-28T10:00:00Z</dcterms:modified>
</cp:coreProperties>
</file>