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01D8" w14:textId="77777777" w:rsidR="00E57800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32749846" wp14:editId="3E0273B2">
            <wp:extent cx="752478" cy="952503"/>
            <wp:effectExtent l="0" t="0" r="9522" b="0"/>
            <wp:docPr id="1505509733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              </w:t>
      </w:r>
    </w:p>
    <w:p w14:paraId="46D9A2A5" w14:textId="77777777" w:rsidR="00E57800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2641725A" w14:textId="77777777" w:rsidR="00E57800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37CCBB71" w14:textId="77777777" w:rsidR="00E57800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443FA23C" w14:textId="77777777" w:rsidR="00E57800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583FBCE0" w14:textId="77777777" w:rsidR="00E57800" w:rsidRDefault="00000000">
      <w:pPr>
        <w:ind w:left="-57" w:right="-57"/>
      </w:pPr>
      <w:r>
        <w:rPr>
          <w:b/>
        </w:rPr>
        <w:t xml:space="preserve">       OPĆINSKI NAČELNIK</w:t>
      </w:r>
    </w:p>
    <w:p w14:paraId="203DB87D" w14:textId="77777777" w:rsidR="00E57800" w:rsidRDefault="00E57800">
      <w:pPr>
        <w:tabs>
          <w:tab w:val="center" w:pos="2410"/>
        </w:tabs>
        <w:ind w:left="-57" w:right="-57"/>
        <w:jc w:val="both"/>
        <w:rPr>
          <w:b/>
          <w:color w:val="000000"/>
        </w:rPr>
      </w:pPr>
    </w:p>
    <w:p w14:paraId="7ADB6873" w14:textId="77777777" w:rsidR="00E57800" w:rsidRDefault="00E57800">
      <w:pPr>
        <w:rPr>
          <w:color w:val="000000"/>
        </w:rPr>
      </w:pPr>
    </w:p>
    <w:p w14:paraId="4E430A33" w14:textId="77777777" w:rsidR="00E57800" w:rsidRDefault="00000000"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7CEB1B45" w14:textId="77777777" w:rsidR="00E57800" w:rsidRDefault="00000000">
      <w:pPr>
        <w:rPr>
          <w:b/>
          <w:color w:val="000000"/>
        </w:rPr>
      </w:pPr>
      <w:r>
        <w:rPr>
          <w:b/>
          <w:color w:val="000000"/>
        </w:rPr>
        <w:t>URBROJ: 2103-15-03-25-6</w:t>
      </w:r>
    </w:p>
    <w:p w14:paraId="6282109D" w14:textId="77777777" w:rsidR="00E57800" w:rsidRDefault="00000000">
      <w:pPr>
        <w:rPr>
          <w:b/>
          <w:color w:val="000000"/>
        </w:rPr>
      </w:pPr>
      <w:r>
        <w:rPr>
          <w:b/>
          <w:color w:val="000000"/>
        </w:rPr>
        <w:t>U Šandrovcu, 28.10.2025.</w:t>
      </w:r>
    </w:p>
    <w:p w14:paraId="32C43C44" w14:textId="77777777" w:rsidR="00E57800" w:rsidRDefault="00E57800">
      <w:pPr>
        <w:spacing w:line="360" w:lineRule="auto"/>
        <w:rPr>
          <w:color w:val="000000"/>
          <w:sz w:val="20"/>
        </w:rPr>
      </w:pPr>
    </w:p>
    <w:p w14:paraId="2D48BF64" w14:textId="77777777" w:rsidR="00E57800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p w14:paraId="5AE32C21" w14:textId="77777777" w:rsidR="00E57800" w:rsidRDefault="00E57800">
      <w:pPr>
        <w:jc w:val="center"/>
        <w:rPr>
          <w:rFonts w:eastAsia="Calibri"/>
          <w:b/>
          <w:color w:val="000000"/>
          <w:lang w:eastAsia="en-US"/>
        </w:rPr>
      </w:pPr>
    </w:p>
    <w:p w14:paraId="5820CECB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7DAA35A8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za dodjelu potpore za analizu tla na području Općine Šandrovac</w:t>
      </w:r>
    </w:p>
    <w:p w14:paraId="05D96E2A" w14:textId="77777777" w:rsidR="00E57800" w:rsidRDefault="00E57800">
      <w:pPr>
        <w:rPr>
          <w:rFonts w:eastAsia="Calibri"/>
          <w:b/>
          <w:color w:val="000000"/>
          <w:lang w:eastAsia="en-US"/>
        </w:rPr>
      </w:pPr>
    </w:p>
    <w:p w14:paraId="0163E5C1" w14:textId="77777777" w:rsidR="00E57800" w:rsidRDefault="00E57800">
      <w:pPr>
        <w:rPr>
          <w:rFonts w:eastAsia="Calibri"/>
          <w:b/>
          <w:color w:val="000000"/>
          <w:lang w:eastAsia="en-US"/>
        </w:rPr>
      </w:pPr>
    </w:p>
    <w:p w14:paraId="7071BBD5" w14:textId="77777777" w:rsidR="00E57800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563FC65A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67A94655" w14:textId="77777777" w:rsidR="00E57800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 xml:space="preserve">za analizu tla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63FC0A56" w14:textId="77777777" w:rsidR="00E5780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57256ED1" w14:textId="77777777" w:rsidR="00E57800" w:rsidRDefault="00E57800">
      <w:pPr>
        <w:jc w:val="both"/>
        <w:rPr>
          <w:rFonts w:eastAsia="Calibri"/>
          <w:color w:val="000000"/>
          <w:lang w:eastAsia="en-US"/>
        </w:rPr>
      </w:pPr>
    </w:p>
    <w:p w14:paraId="52191F24" w14:textId="77777777" w:rsidR="00E57800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28CC9267" w14:textId="77777777" w:rsidR="00E57800" w:rsidRDefault="00E57800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4B194997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24290D55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Cilj potpore je unaprjeđenje poljoprivredne proizvodnje, educiranje poljoprivrednika o važnosti analize i smanjenja kiselosti tla te smanjenje troškova prekomjerne upotrebe gnojiva.</w:t>
      </w:r>
    </w:p>
    <w:p w14:paraId="55F149CC" w14:textId="77777777" w:rsidR="00E57800" w:rsidRDefault="00000000">
      <w:pPr>
        <w:spacing w:line="276" w:lineRule="auto"/>
        <w:jc w:val="both"/>
      </w:pPr>
      <w:r>
        <w:t>Potpora iznosi</w:t>
      </w:r>
      <w:r>
        <w:rPr>
          <w:color w:val="000000"/>
        </w:rPr>
        <w:t xml:space="preserve"> 20,00 eura po uzorku, minimalne prihvatljive površine za analizu tla 0,20 ha. Maksimalni iznos potpore iznosi do 100,00 eura za 5 uzoraka po poljoprivrednom gospodarstvu u jednoj kalendarskoj godini.</w:t>
      </w:r>
    </w:p>
    <w:p w14:paraId="24A901BC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Prihvatljivi troškovi su svi troškovi koji su nastali nakon 1. siječnja 2025. godine.</w:t>
      </w:r>
    </w:p>
    <w:p w14:paraId="02B44EFC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Potpore se ne dodjeljuju za troškove PDV-a i drugih poreza, carina ili sličnih troškova.</w:t>
      </w:r>
    </w:p>
    <w:p w14:paraId="5A46CA2D" w14:textId="77777777" w:rsidR="00E57800" w:rsidRPr="008959ED" w:rsidRDefault="00000000">
      <w:pPr>
        <w:pStyle w:val="Bezproreda"/>
        <w:jc w:val="both"/>
        <w:rPr>
          <w:lang w:val="pl-PL"/>
        </w:rPr>
      </w:pPr>
      <w:r w:rsidRPr="008959ED">
        <w:rPr>
          <w:rFonts w:ascii="Times New Roman" w:hAnsi="Times New Roman"/>
          <w:color w:val="000000"/>
          <w:sz w:val="24"/>
          <w:szCs w:val="24"/>
          <w:lang w:val="hr-HR"/>
        </w:rPr>
        <w:t xml:space="preserve">U postupku odobravanja potpore primjenjuju se odredbe važeće </w:t>
      </w:r>
      <w:r w:rsidRPr="008959ED">
        <w:rPr>
          <w:rFonts w:ascii="Times New Roman" w:eastAsia="Calibri" w:hAnsi="Times New Roman"/>
          <w:color w:val="000000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8959ED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0" w:name="_Hlk86749060"/>
      <w:r w:rsidRPr="008959ED">
        <w:rPr>
          <w:rFonts w:ascii="Times New Roman" w:hAnsi="Times New Roman"/>
          <w:color w:val="000000"/>
          <w:sz w:val="24"/>
          <w:szCs w:val="24"/>
          <w:lang w:val="pl-PL"/>
        </w:rPr>
        <w:t>(SL L 352, 24.12.2013.) i Uredbom Komisije (EU) 2019/316 od 21. veljače 2019. o izmjeni Uredbe (EU) br. 1408/2013 o promjeni članka 107. i 108. Ugovora o funkcioniranju Europske unije na potpore de minimis u poljoprivrednom sektoru (SL L 51/1, 22.2.2019.) (dalje u tekstu: Uredba 1408/2013).</w:t>
      </w:r>
    </w:p>
    <w:bookmarkEnd w:id="0"/>
    <w:p w14:paraId="68C6F5C4" w14:textId="77777777" w:rsidR="00E57800" w:rsidRDefault="00000000">
      <w:pPr>
        <w:rPr>
          <w:b/>
        </w:rPr>
      </w:pPr>
      <w:r>
        <w:rPr>
          <w:b/>
        </w:rPr>
        <w:lastRenderedPageBreak/>
        <w:t>III. UVJETI ZA PODNOŠENJE ZAHTJEVA ZA POTPORU</w:t>
      </w:r>
    </w:p>
    <w:p w14:paraId="33CF53BE" w14:textId="77777777" w:rsidR="00E57800" w:rsidRDefault="00E57800">
      <w:pPr>
        <w:rPr>
          <w:b/>
        </w:rPr>
      </w:pPr>
    </w:p>
    <w:p w14:paraId="33CC7D4F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46F01F02" w14:textId="77777777" w:rsidR="00E57800" w:rsidRDefault="00000000">
      <w:r>
        <w:t xml:space="preserve">Uvjeti za dodjelu potpore su: </w:t>
      </w:r>
    </w:p>
    <w:p w14:paraId="04E26B5E" w14:textId="77777777" w:rsidR="00E57800" w:rsidRDefault="00000000">
      <w:r>
        <w:t xml:space="preserve">-korisnici mogu biti poljoprivredna gospodarstva (OPG, obrti, trgovačka društva, zadruge registrirane za obavljanje poljoprivredne djelatnosti) upisana u Upisnik poljoprivrednih gospodarstava, </w:t>
      </w:r>
    </w:p>
    <w:p w14:paraId="7D3DAE3E" w14:textId="77777777" w:rsidR="00E57800" w:rsidRDefault="00000000">
      <w:r>
        <w:t>- sjedište poljoprivrednog gospodarstva treba biti na području Općine Šandrovac,</w:t>
      </w:r>
    </w:p>
    <w:p w14:paraId="42526A19" w14:textId="77777777" w:rsidR="00E57800" w:rsidRDefault="00000000">
      <w:r>
        <w:t xml:space="preserve">- trošak treba biti izvršen u tekućoj godini, a prije podnošenja zahtjeva za isplatu, </w:t>
      </w:r>
    </w:p>
    <w:p w14:paraId="6EBD185F" w14:textId="77777777" w:rsidR="00E57800" w:rsidRDefault="00000000">
      <w:r>
        <w:t>- potpora će se isplaćivati po ispostavljenom originalnom računu, a nakon izvršene kontrole od strane JUO Općine Šandrovac.</w:t>
      </w:r>
    </w:p>
    <w:p w14:paraId="675CE5CD" w14:textId="77777777" w:rsidR="00E57800" w:rsidRDefault="00E57800"/>
    <w:p w14:paraId="71E8DBE3" w14:textId="77777777" w:rsidR="00E57800" w:rsidRDefault="00E57800">
      <w:pPr>
        <w:rPr>
          <w:rFonts w:eastAsia="Calibri"/>
          <w:b/>
          <w:color w:val="000000"/>
          <w:lang w:eastAsia="en-US"/>
        </w:rPr>
      </w:pPr>
    </w:p>
    <w:p w14:paraId="0D487B52" w14:textId="77777777" w:rsidR="00E57800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30AFA2FA" w14:textId="77777777" w:rsidR="00E57800" w:rsidRDefault="00E57800">
      <w:pPr>
        <w:rPr>
          <w:rFonts w:eastAsia="Calibri"/>
          <w:b/>
          <w:color w:val="000000"/>
          <w:lang w:eastAsia="en-US"/>
        </w:rPr>
      </w:pPr>
    </w:p>
    <w:p w14:paraId="5D0C0E69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3291B7D3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Potpore se odobravaju temeljem podnesenih zahtjeva za dodjelu potpora na propisanim obrascima.</w:t>
      </w:r>
    </w:p>
    <w:p w14:paraId="1B45DFCA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Podnositelj zahtjeva, uz obrazac zahtjeva za odobravanje potpore (Prilog 1) mora priložiti sljedeću dokumentaciju:</w:t>
      </w:r>
    </w:p>
    <w:p w14:paraId="62A6FC75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1. preslik rješenja o upisu u Upisnik poljoprivrednih gospodarstava (ukoliko je podnositelj zahtjeva obrtnik i preslika obrtnice),</w:t>
      </w:r>
    </w:p>
    <w:p w14:paraId="3B2FF78F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2. originalni račun izdan od strane nadležnog tijela, sa priloženom specifikacijom po pojedinom korisniku i datumom izdavanja u tekućoj godini,</w:t>
      </w:r>
    </w:p>
    <w:p w14:paraId="3A3907BC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38EA8885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</w:t>
      </w:r>
    </w:p>
    <w:p w14:paraId="18842C43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poduzetnicima (ispunjavaju samo pravne osobe),</w:t>
      </w:r>
    </w:p>
    <w:p w14:paraId="21A2C6EE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7CB661F6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7BD921D6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53F3F82A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518452FA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5C7013FD" w14:textId="77777777" w:rsidR="00E57800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52BBC293" w14:textId="77777777" w:rsidR="00E57800" w:rsidRDefault="00E57800">
      <w:pPr>
        <w:jc w:val="both"/>
        <w:rPr>
          <w:rFonts w:eastAsia="Calibri"/>
          <w:lang w:eastAsia="en-US"/>
        </w:rPr>
      </w:pPr>
    </w:p>
    <w:p w14:paraId="0824704D" w14:textId="77777777" w:rsidR="00E57800" w:rsidRDefault="00E57800">
      <w:pPr>
        <w:jc w:val="center"/>
        <w:rPr>
          <w:rFonts w:eastAsia="Calibri"/>
          <w:b/>
          <w:color w:val="000000"/>
          <w:lang w:eastAsia="en-US"/>
        </w:rPr>
      </w:pPr>
    </w:p>
    <w:p w14:paraId="78F4E6DA" w14:textId="77777777" w:rsidR="00E57800" w:rsidRDefault="00E57800">
      <w:pPr>
        <w:jc w:val="center"/>
        <w:rPr>
          <w:rFonts w:eastAsia="Calibri"/>
          <w:b/>
          <w:color w:val="000000"/>
          <w:lang w:eastAsia="en-US"/>
        </w:rPr>
      </w:pPr>
    </w:p>
    <w:p w14:paraId="664931D4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14:paraId="21097CF1" w14:textId="77777777" w:rsidR="00E5780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040AE4C0" w14:textId="77777777" w:rsidR="00E5780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30F639E5" w14:textId="77777777" w:rsidR="00E5780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 w14:paraId="7117DD1B" w14:textId="77777777" w:rsidR="00E57800" w:rsidRDefault="00E57800">
      <w:pPr>
        <w:jc w:val="both"/>
        <w:rPr>
          <w:rFonts w:eastAsia="Calibri"/>
          <w:lang w:eastAsia="en-US"/>
        </w:rPr>
      </w:pPr>
    </w:p>
    <w:p w14:paraId="3B8A499F" w14:textId="77777777" w:rsidR="00E57800" w:rsidRDefault="00E57800">
      <w:pPr>
        <w:jc w:val="both"/>
        <w:rPr>
          <w:rFonts w:eastAsia="Calibri"/>
          <w:lang w:eastAsia="en-US"/>
        </w:rPr>
      </w:pPr>
    </w:p>
    <w:p w14:paraId="4337397F" w14:textId="77777777" w:rsidR="00E57800" w:rsidRDefault="00000000">
      <w:pPr>
        <w:rPr>
          <w:b/>
        </w:rPr>
      </w:pPr>
      <w:r>
        <w:rPr>
          <w:b/>
        </w:rPr>
        <w:lastRenderedPageBreak/>
        <w:t>V. NAČIN, MJESTO I ROK PODNOŠENJA ZAHTJEVA</w:t>
      </w:r>
    </w:p>
    <w:p w14:paraId="38A583B8" w14:textId="77777777" w:rsidR="00E57800" w:rsidRDefault="00E57800">
      <w:pPr>
        <w:rPr>
          <w:b/>
        </w:rPr>
      </w:pPr>
    </w:p>
    <w:p w14:paraId="40BB07BB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62245B43" w14:textId="77777777" w:rsidR="00E57800" w:rsidRDefault="00000000">
      <w:pPr>
        <w:jc w:val="both"/>
      </w:pPr>
      <w:r>
        <w:rPr>
          <w:rFonts w:eastAsia="Calibri"/>
          <w:color w:val="000000"/>
          <w:lang w:eastAsia="en-US"/>
        </w:rPr>
        <w:t>Zahtjevi za dodjelu potpore dost</w:t>
      </w:r>
      <w:r>
        <w:rPr>
          <w:color w:val="000000"/>
        </w:rPr>
        <w:t xml:space="preserve">avljaju se unutar roka za dostavu zahtjeva odnosno od 28. listopada do 28. studenog 2025. godine do 15,00 sati, odnosno do utroška sredstava planiranih u proračunu Općine Šandrovac za 2025. godinu. </w:t>
      </w:r>
    </w:p>
    <w:p w14:paraId="27CDFA60" w14:textId="77777777" w:rsidR="00E57800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– ANALIZA TLA“ </w:t>
      </w:r>
    </w:p>
    <w:p w14:paraId="240AF0F8" w14:textId="77777777" w:rsidR="00E57800" w:rsidRDefault="00E57800">
      <w:pPr>
        <w:rPr>
          <w:b/>
        </w:rPr>
      </w:pPr>
    </w:p>
    <w:p w14:paraId="52CB277E" w14:textId="77777777" w:rsidR="00E57800" w:rsidRDefault="00E57800">
      <w:pPr>
        <w:rPr>
          <w:b/>
        </w:rPr>
      </w:pPr>
    </w:p>
    <w:p w14:paraId="56B6FEF7" w14:textId="77777777" w:rsidR="00E57800" w:rsidRDefault="00000000">
      <w:pPr>
        <w:rPr>
          <w:b/>
        </w:rPr>
      </w:pPr>
      <w:r>
        <w:rPr>
          <w:b/>
        </w:rPr>
        <w:t>VI. OSTALE INFORMACIJE</w:t>
      </w:r>
    </w:p>
    <w:p w14:paraId="45601CAD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1338F59D" w14:textId="77777777" w:rsidR="00E5780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0B333692" w14:textId="77777777" w:rsidR="00E57800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46C12ACC" w14:textId="77777777" w:rsidR="00E57800" w:rsidRDefault="00E57800">
      <w:pPr>
        <w:jc w:val="both"/>
        <w:rPr>
          <w:rFonts w:eastAsia="Calibri"/>
          <w:color w:val="000000"/>
          <w:lang w:eastAsia="en-US"/>
        </w:rPr>
      </w:pPr>
    </w:p>
    <w:p w14:paraId="7B93B0F1" w14:textId="77777777" w:rsidR="00E57800" w:rsidRDefault="00E57800">
      <w:pPr>
        <w:jc w:val="both"/>
        <w:rPr>
          <w:rFonts w:eastAsia="Calibri"/>
          <w:color w:val="000000"/>
          <w:lang w:eastAsia="en-US"/>
        </w:rPr>
      </w:pPr>
    </w:p>
    <w:p w14:paraId="6BF80FC6" w14:textId="77777777" w:rsidR="00E57800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26821372" w14:textId="77777777" w:rsidR="00E57800" w:rsidRDefault="00E57800">
      <w:pPr>
        <w:jc w:val="both"/>
        <w:rPr>
          <w:rFonts w:eastAsia="Calibri"/>
          <w:b/>
          <w:color w:val="000000"/>
          <w:lang w:eastAsia="en-US"/>
        </w:rPr>
      </w:pPr>
    </w:p>
    <w:p w14:paraId="6730C145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5473717F" w14:textId="77777777" w:rsidR="00E57800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6BD5F185" w14:textId="77777777" w:rsidR="00E5780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099F7A19" w14:textId="77777777" w:rsidR="00E57800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461BD172" w14:textId="77777777" w:rsidR="00E57800" w:rsidRDefault="00E57800">
      <w:pPr>
        <w:jc w:val="both"/>
        <w:rPr>
          <w:rFonts w:eastAsia="Calibri"/>
          <w:color w:val="000000"/>
          <w:lang w:eastAsia="en-US"/>
        </w:rPr>
      </w:pPr>
    </w:p>
    <w:p w14:paraId="343EDD61" w14:textId="77777777" w:rsidR="00E57800" w:rsidRDefault="00E57800">
      <w:pPr>
        <w:jc w:val="both"/>
        <w:rPr>
          <w:rFonts w:eastAsia="Calibri"/>
          <w:color w:val="000000"/>
          <w:lang w:eastAsia="en-US"/>
        </w:rPr>
      </w:pPr>
    </w:p>
    <w:p w14:paraId="6ABF9958" w14:textId="77777777" w:rsidR="00E57800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536AAD45" w14:textId="77777777" w:rsidR="00E57800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3E8603E9" w14:textId="77777777" w:rsidR="00E57800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3650E54D" w14:textId="77777777" w:rsidR="00E57800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587984C7" w14:textId="77777777" w:rsidR="00E57800" w:rsidRDefault="00E57800">
      <w:pPr>
        <w:jc w:val="both"/>
      </w:pPr>
    </w:p>
    <w:p w14:paraId="48E79CE9" w14:textId="77777777" w:rsidR="00E57800" w:rsidRDefault="00000000">
      <w:pPr>
        <w:jc w:val="center"/>
      </w:pPr>
      <w:r>
        <w:t>Općinski načelnik Općine Šandrovac</w:t>
      </w:r>
    </w:p>
    <w:p w14:paraId="787B6F95" w14:textId="77777777" w:rsidR="00E57800" w:rsidRDefault="00000000">
      <w:pPr>
        <w:jc w:val="center"/>
      </w:pPr>
      <w:r>
        <w:rPr>
          <w:lang w:val="en-US"/>
        </w:rPr>
        <w:object w:dxaOrig="9060" w:dyaOrig="300" w14:anchorId="7F1D4B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453pt;height:15pt;visibility:visible;mso-wrap-style:square" o:ole="">
            <v:imagedata r:id="rId8" o:title=""/>
          </v:shape>
          <o:OLEObject Type="Embed" ProgID="Word.Document.12" ShapeID="Object 8" DrawAspect="Content" ObjectID="_1823154384" r:id="rId9"/>
        </w:object>
      </w:r>
    </w:p>
    <w:sectPr w:rsidR="00E5780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7529" w14:textId="77777777" w:rsidR="008E06A2" w:rsidRDefault="008E06A2">
      <w:r>
        <w:separator/>
      </w:r>
    </w:p>
  </w:endnote>
  <w:endnote w:type="continuationSeparator" w:id="0">
    <w:p w14:paraId="1FC259FD" w14:textId="77777777" w:rsidR="008E06A2" w:rsidRDefault="008E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BEFC" w14:textId="77777777" w:rsidR="008E06A2" w:rsidRDefault="008E06A2">
      <w:r>
        <w:rPr>
          <w:color w:val="000000"/>
        </w:rPr>
        <w:separator/>
      </w:r>
    </w:p>
  </w:footnote>
  <w:footnote w:type="continuationSeparator" w:id="0">
    <w:p w14:paraId="398B9408" w14:textId="77777777" w:rsidR="008E06A2" w:rsidRDefault="008E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7E1"/>
    <w:multiLevelType w:val="multilevel"/>
    <w:tmpl w:val="8CD8A3AC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1430E01"/>
    <w:multiLevelType w:val="multilevel"/>
    <w:tmpl w:val="FE4AF7F4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864589"/>
    <w:multiLevelType w:val="multilevel"/>
    <w:tmpl w:val="C9C04806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EF911F9"/>
    <w:multiLevelType w:val="multilevel"/>
    <w:tmpl w:val="881AC37C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D31E3A"/>
    <w:multiLevelType w:val="multilevel"/>
    <w:tmpl w:val="B4CC7C7A"/>
    <w:styleLink w:val="WWOutlineListStyle1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4D01244"/>
    <w:multiLevelType w:val="multilevel"/>
    <w:tmpl w:val="D5CC8DD4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F154CB"/>
    <w:multiLevelType w:val="multilevel"/>
    <w:tmpl w:val="7F36A18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643087"/>
    <w:multiLevelType w:val="multilevel"/>
    <w:tmpl w:val="CEB0B66C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99745C7"/>
    <w:multiLevelType w:val="multilevel"/>
    <w:tmpl w:val="3E98B03A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D720B2D"/>
    <w:multiLevelType w:val="multilevel"/>
    <w:tmpl w:val="B7DACA9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94D62FC"/>
    <w:multiLevelType w:val="multilevel"/>
    <w:tmpl w:val="55784DA4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2F40951"/>
    <w:multiLevelType w:val="multilevel"/>
    <w:tmpl w:val="488222C2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09E3CEC"/>
    <w:multiLevelType w:val="multilevel"/>
    <w:tmpl w:val="D78839B0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72A627D"/>
    <w:multiLevelType w:val="multilevel"/>
    <w:tmpl w:val="32B0FEA0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DC95D6B"/>
    <w:multiLevelType w:val="multilevel"/>
    <w:tmpl w:val="3E000C18"/>
    <w:styleLink w:val="WWOutlineListStyl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F356EEC"/>
    <w:multiLevelType w:val="multilevel"/>
    <w:tmpl w:val="31841AD0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88486849">
    <w:abstractNumId w:val="4"/>
  </w:num>
  <w:num w:numId="2" w16cid:durableId="715352472">
    <w:abstractNumId w:val="14"/>
  </w:num>
  <w:num w:numId="3" w16cid:durableId="530193717">
    <w:abstractNumId w:val="8"/>
  </w:num>
  <w:num w:numId="4" w16cid:durableId="1595552254">
    <w:abstractNumId w:val="7"/>
  </w:num>
  <w:num w:numId="5" w16cid:durableId="1031342616">
    <w:abstractNumId w:val="2"/>
  </w:num>
  <w:num w:numId="6" w16cid:durableId="1185899316">
    <w:abstractNumId w:val="12"/>
  </w:num>
  <w:num w:numId="7" w16cid:durableId="1917206140">
    <w:abstractNumId w:val="1"/>
  </w:num>
  <w:num w:numId="8" w16cid:durableId="217283051">
    <w:abstractNumId w:val="10"/>
  </w:num>
  <w:num w:numId="9" w16cid:durableId="1917085676">
    <w:abstractNumId w:val="13"/>
  </w:num>
  <w:num w:numId="10" w16cid:durableId="1426077008">
    <w:abstractNumId w:val="5"/>
  </w:num>
  <w:num w:numId="11" w16cid:durableId="271133409">
    <w:abstractNumId w:val="15"/>
  </w:num>
  <w:num w:numId="12" w16cid:durableId="917321466">
    <w:abstractNumId w:val="9"/>
  </w:num>
  <w:num w:numId="13" w16cid:durableId="2013291176">
    <w:abstractNumId w:val="11"/>
  </w:num>
  <w:num w:numId="14" w16cid:durableId="1963610610">
    <w:abstractNumId w:val="6"/>
  </w:num>
  <w:num w:numId="15" w16cid:durableId="1047144740">
    <w:abstractNumId w:val="0"/>
  </w:num>
  <w:num w:numId="16" w16cid:durableId="100613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7800"/>
    <w:rsid w:val="008959ED"/>
    <w:rsid w:val="008E06A2"/>
    <w:rsid w:val="009E1593"/>
    <w:rsid w:val="00E5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93E7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5">
    <w:name w:val="WW_OutlineListStyle_15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4">
    <w:name w:val="WW_OutlineListStyle_14"/>
    <w:basedOn w:val="Bezpopisa"/>
    <w:pPr>
      <w:numPr>
        <w:numId w:val="2"/>
      </w:numPr>
    </w:pPr>
  </w:style>
  <w:style w:type="numbering" w:customStyle="1" w:styleId="WWOutlineListStyle13">
    <w:name w:val="WW_OutlineListStyle_13"/>
    <w:basedOn w:val="Bezpopisa"/>
    <w:pPr>
      <w:numPr>
        <w:numId w:val="3"/>
      </w:numPr>
    </w:pPr>
  </w:style>
  <w:style w:type="numbering" w:customStyle="1" w:styleId="WWOutlineListStyle12">
    <w:name w:val="WW_OutlineListStyle_12"/>
    <w:basedOn w:val="Bezpopisa"/>
    <w:pPr>
      <w:numPr>
        <w:numId w:val="4"/>
      </w:numPr>
    </w:pPr>
  </w:style>
  <w:style w:type="numbering" w:customStyle="1" w:styleId="WWOutlineListStyle11">
    <w:name w:val="WW_OutlineListStyle_11"/>
    <w:basedOn w:val="Bezpopisa"/>
    <w:pPr>
      <w:numPr>
        <w:numId w:val="5"/>
      </w:numPr>
    </w:pPr>
  </w:style>
  <w:style w:type="numbering" w:customStyle="1" w:styleId="WWOutlineListStyle10">
    <w:name w:val="WW_OutlineListStyle_10"/>
    <w:basedOn w:val="Bezpopisa"/>
    <w:pPr>
      <w:numPr>
        <w:numId w:val="6"/>
      </w:numPr>
    </w:pPr>
  </w:style>
  <w:style w:type="numbering" w:customStyle="1" w:styleId="WWOutlineListStyle9">
    <w:name w:val="WW_OutlineListStyle_9"/>
    <w:basedOn w:val="Bezpopisa"/>
    <w:pPr>
      <w:numPr>
        <w:numId w:val="7"/>
      </w:numPr>
    </w:pPr>
  </w:style>
  <w:style w:type="numbering" w:customStyle="1" w:styleId="WWOutlineListStyle8">
    <w:name w:val="WW_OutlineListStyle_8"/>
    <w:basedOn w:val="Bezpopisa"/>
    <w:pPr>
      <w:numPr>
        <w:numId w:val="8"/>
      </w:numPr>
    </w:pPr>
  </w:style>
  <w:style w:type="numbering" w:customStyle="1" w:styleId="WWOutlineListStyle7">
    <w:name w:val="WW_OutlineListStyle_7"/>
    <w:basedOn w:val="Bezpopisa"/>
    <w:pPr>
      <w:numPr>
        <w:numId w:val="9"/>
      </w:numPr>
    </w:pPr>
  </w:style>
  <w:style w:type="numbering" w:customStyle="1" w:styleId="WWOutlineListStyle6">
    <w:name w:val="WW_OutlineListStyle_6"/>
    <w:basedOn w:val="Bezpopisa"/>
    <w:pPr>
      <w:numPr>
        <w:numId w:val="10"/>
      </w:numPr>
    </w:pPr>
  </w:style>
  <w:style w:type="numbering" w:customStyle="1" w:styleId="WWOutlineListStyle5">
    <w:name w:val="WW_OutlineListStyle_5"/>
    <w:basedOn w:val="Bezpopisa"/>
    <w:pPr>
      <w:numPr>
        <w:numId w:val="11"/>
      </w:numPr>
    </w:pPr>
  </w:style>
  <w:style w:type="numbering" w:customStyle="1" w:styleId="WWOutlineListStyle4">
    <w:name w:val="WW_OutlineListStyle_4"/>
    <w:basedOn w:val="Bezpopisa"/>
    <w:pPr>
      <w:numPr>
        <w:numId w:val="12"/>
      </w:numPr>
    </w:pPr>
  </w:style>
  <w:style w:type="numbering" w:customStyle="1" w:styleId="WWOutlineListStyle3">
    <w:name w:val="WW_OutlineListStyle_3"/>
    <w:basedOn w:val="Bezpopisa"/>
    <w:pPr>
      <w:numPr>
        <w:numId w:val="13"/>
      </w:numPr>
    </w:pPr>
  </w:style>
  <w:style w:type="numbering" w:customStyle="1" w:styleId="WWOutlineListStyle2">
    <w:name w:val="WW_OutlineListStyle_2"/>
    <w:basedOn w:val="Bezpopisa"/>
    <w:pPr>
      <w:numPr>
        <w:numId w:val="14"/>
      </w:numPr>
    </w:pPr>
  </w:style>
  <w:style w:type="numbering" w:customStyle="1" w:styleId="WWOutlineListStyle1">
    <w:name w:val="WW_OutlineListStyle_1"/>
    <w:basedOn w:val="Bezpopisa"/>
    <w:pPr>
      <w:numPr>
        <w:numId w:val="15"/>
      </w:numPr>
    </w:pPr>
  </w:style>
  <w:style w:type="numbering" w:customStyle="1" w:styleId="WWOutlineListStyle">
    <w:name w:val="WW_OutlineListStyle"/>
    <w:basedOn w:val="Bezpopis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 Karić</cp:lastModifiedBy>
  <cp:revision>2</cp:revision>
  <cp:lastPrinted>2024-10-25T12:43:00Z</cp:lastPrinted>
  <dcterms:created xsi:type="dcterms:W3CDTF">2025-10-28T10:00:00Z</dcterms:created>
  <dcterms:modified xsi:type="dcterms:W3CDTF">2025-10-28T10:00:00Z</dcterms:modified>
</cp:coreProperties>
</file>