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C6CD" w14:textId="4C5F64EA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23398">
        <w:trPr>
          <w:trHeight w:hRule="exact" w:val="678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3D81347" w14:textId="2A7E114E" w:rsidR="005C1D8A" w:rsidRPr="00102C12" w:rsidRDefault="005C1D8A" w:rsidP="00102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Savjetovanje</w:t>
            </w:r>
            <w:proofErr w:type="spellEnd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o </w:t>
            </w:r>
            <w:proofErr w:type="spellStart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nacrtu</w:t>
            </w:r>
            <w:proofErr w:type="spellEnd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općeg</w:t>
            </w:r>
            <w:proofErr w:type="spellEnd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akta</w:t>
            </w:r>
            <w:proofErr w:type="spellEnd"/>
            <w:r w:rsidRPr="00102C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  <w:p w14:paraId="06294C50" w14:textId="3763E604" w:rsidR="001D7128" w:rsidRPr="00C3753E" w:rsidRDefault="00102C12" w:rsidP="00423398">
            <w:pPr>
              <w:pStyle w:val="Odlomakpopisa"/>
              <w:widowControl/>
              <w:spacing w:after="0" w:line="240" w:lineRule="auto"/>
              <w:ind w:left="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proofErr w:type="spellStart"/>
            <w:proofErr w:type="gramStart"/>
            <w:r w:rsidRPr="00102C12">
              <w:rPr>
                <w:rFonts w:ascii="Times New Roman" w:hAnsi="Times New Roman"/>
                <w:b/>
                <w:bCs/>
                <w:color w:val="000000" w:themeColor="text1"/>
              </w:rPr>
              <w:t>Odluk</w:t>
            </w:r>
            <w:r w:rsidR="00C50696">
              <w:rPr>
                <w:rFonts w:ascii="Times New Roman" w:hAnsi="Times New Roman"/>
                <w:b/>
                <w:bCs/>
                <w:color w:val="000000" w:themeColor="text1"/>
              </w:rPr>
              <w:t>a</w:t>
            </w:r>
            <w:proofErr w:type="spellEnd"/>
            <w:r w:rsidRPr="00102C1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102C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o</w:t>
            </w:r>
            <w:proofErr w:type="gramEnd"/>
            <w:r w:rsidRPr="00102C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2C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usvajanju</w:t>
            </w:r>
            <w:proofErr w:type="spellEnd"/>
            <w:r w:rsidRPr="00102C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Plana </w:t>
            </w:r>
            <w:proofErr w:type="spellStart"/>
            <w:r w:rsidRPr="00102C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rasvjete</w:t>
            </w:r>
            <w:proofErr w:type="spellEnd"/>
            <w:r w:rsidRPr="00102C1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Općine Šandrovac</w:t>
            </w: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C3753E" w:rsidRDefault="00701A55" w:rsidP="00102C12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hAnsi="Times New Roman" w:cs="Times New Roman"/>
                <w:color w:val="000000" w:themeColor="text1"/>
                <w:lang w:val="hr-HR"/>
              </w:rPr>
              <w:t>Općina Šandrovac; Jedinstveni upravni odjel</w:t>
            </w:r>
          </w:p>
          <w:p w14:paraId="12C9006F" w14:textId="4CC24534" w:rsidR="005C1D8A" w:rsidRPr="00C3753E" w:rsidRDefault="005C1D8A" w:rsidP="00102C12">
            <w:pPr>
              <w:spacing w:after="0" w:line="240" w:lineRule="auto"/>
              <w:ind w:right="-20"/>
              <w:jc w:val="center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38785A" w14:paraId="5CD2385D" w14:textId="77777777" w:rsidTr="00423398">
        <w:trPr>
          <w:trHeight w:hRule="exact" w:val="5556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43C3B603" w14:textId="20581E82" w:rsidR="00310C54" w:rsidRDefault="00102C12" w:rsidP="00102C12">
            <w:pPr>
              <w:pStyle w:val="Odlomakpopisa"/>
              <w:widowControl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emelj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donošenja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prtopisan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člank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35. s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tavak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2. Zakona o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lokalnoj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područnoj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regionalnoj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samoupravi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(„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Narodne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novine“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broj</w:t>
            </w:r>
            <w:proofErr w:type="spellEnd"/>
            <w:proofErr w:type="gram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: 33/01, 60/01, 129/05, 109/07, 125/08, 36/09, 150/11, 144/12, 19/13, 137/15, 123/17 i 98/19),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člank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12.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stavak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3. Zakona o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zaštiti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od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svjetlosnog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onečišćenja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(„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Narodne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novine“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broj</w:t>
            </w:r>
            <w:proofErr w:type="spellEnd"/>
            <w:proofErr w:type="gram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14/19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dalje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Zakon</w:t>
            </w:r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) i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člank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34.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stavka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1.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točke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  <w:proofErr w:type="spellStart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>Statuta</w:t>
            </w:r>
            <w:proofErr w:type="spellEnd"/>
            <w:r w:rsidRPr="0098644F">
              <w:rPr>
                <w:rFonts w:ascii="Times New Roman" w:hAnsi="Times New Roman"/>
                <w:bCs/>
                <w:sz w:val="24"/>
                <w:szCs w:val="24"/>
              </w:rPr>
              <w:t xml:space="preserve"> Općine Šandrovac </w:t>
            </w:r>
            <w:r w:rsidRPr="0098644F">
              <w:rPr>
                <w:rFonts w:ascii="Times New Roman" w:hAnsi="Times New Roman"/>
                <w:sz w:val="24"/>
                <w:szCs w:val="24"/>
              </w:rPr>
              <w:t>(„</w:t>
            </w:r>
            <w:proofErr w:type="spellStart"/>
            <w:r w:rsidRPr="0098644F">
              <w:rPr>
                <w:rFonts w:ascii="Times New Roman" w:hAnsi="Times New Roman"/>
                <w:sz w:val="24"/>
                <w:szCs w:val="24"/>
              </w:rPr>
              <w:t>Općinski</w:t>
            </w:r>
            <w:proofErr w:type="spellEnd"/>
            <w:r w:rsidRPr="00986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44F">
              <w:rPr>
                <w:rFonts w:ascii="Times New Roman" w:hAnsi="Times New Roman"/>
                <w:sz w:val="24"/>
                <w:szCs w:val="24"/>
              </w:rPr>
              <w:t>glasnik</w:t>
            </w:r>
            <w:proofErr w:type="spellEnd"/>
            <w:r w:rsidRPr="0098644F">
              <w:rPr>
                <w:rFonts w:ascii="Times New Roman" w:hAnsi="Times New Roman"/>
                <w:sz w:val="24"/>
                <w:szCs w:val="24"/>
              </w:rPr>
              <w:t xml:space="preserve"> Općine </w:t>
            </w:r>
            <w:proofErr w:type="gramStart"/>
            <w:r w:rsidRPr="0098644F">
              <w:rPr>
                <w:rFonts w:ascii="Times New Roman" w:hAnsi="Times New Roman"/>
                <w:sz w:val="24"/>
                <w:szCs w:val="24"/>
              </w:rPr>
              <w:t>Šandrovac“ 01</w:t>
            </w:r>
            <w:proofErr w:type="gramEnd"/>
            <w:r w:rsidRPr="0098644F">
              <w:rPr>
                <w:rFonts w:ascii="Times New Roman" w:hAnsi="Times New Roman"/>
                <w:sz w:val="24"/>
                <w:szCs w:val="24"/>
              </w:rPr>
              <w:t>/2021, 06/2021, 08/2023)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A9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lan </w:t>
            </w:r>
            <w:proofErr w:type="spellStart"/>
            <w:r w:rsidRPr="00A9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rasvjete</w:t>
            </w:r>
            <w:proofErr w:type="spellEnd"/>
            <w:r w:rsidRPr="00A91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Općine Šandrovac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dostupan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 </w:t>
            </w:r>
            <w:hyperlink r:id="rId8" w:history="1">
              <w:r w:rsidRPr="009E5700">
                <w:rPr>
                  <w:rStyle w:val="Hiperveza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https://sandrovac.hr/dokumenti.asp?id=5&amp;n=3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986B071" w14:textId="39310D2E" w:rsidR="00102C12" w:rsidRPr="00102C12" w:rsidRDefault="00102C12" w:rsidP="00102C12">
            <w:pPr>
              <w:spacing w:after="0"/>
              <w:jc w:val="both"/>
              <w:rPr>
                <w:rFonts w:ascii="Times New Roman" w:eastAsia="Myriad Pro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Myriad Pro" w:hAnsi="Times New Roman" w:cs="Times New Roman"/>
                <w:color w:val="000000" w:themeColor="text1"/>
              </w:rPr>
              <w:t>Č</w:t>
            </w:r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lanak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12.</w:t>
            </w:r>
            <w:r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(1)</w:t>
            </w:r>
            <w:r>
              <w:rPr>
                <w:rFonts w:ascii="Times New Roman" w:eastAsia="Myriad Pro" w:hAnsi="Times New Roman" w:cs="Times New Roman"/>
                <w:color w:val="000000" w:themeColor="text1"/>
              </w:rPr>
              <w:t xml:space="preserve"> Zakona </w:t>
            </w:r>
            <w:proofErr w:type="spellStart"/>
            <w:proofErr w:type="gramStart"/>
            <w:r>
              <w:rPr>
                <w:rFonts w:ascii="Times New Roman" w:eastAsia="Myriad Pro" w:hAnsi="Times New Roman" w:cs="Times New Roman"/>
                <w:color w:val="000000" w:themeColor="text1"/>
              </w:rPr>
              <w:t>propisuje</w:t>
            </w:r>
            <w:proofErr w:type="spellEnd"/>
            <w:r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Pri</w:t>
            </w:r>
            <w:proofErr w:type="gram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planiranju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projektiranju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gradnji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održavanju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rekonstrukciji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vanjske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rasvjete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koja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se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odobrava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prema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zakonu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kojim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se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uređuje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građenje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moraju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se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projektom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rasvjete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odabrati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takva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tehnička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rješenja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kojima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se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osigurava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energetska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učinkovitost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izvedba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sukladno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važećim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normama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iz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područja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rasvjete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propisano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upravljanje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rasvjetom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vrijednostima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definiranim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pravilniku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iz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članka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9.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ovoga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Zakona</w:t>
            </w:r>
            <w:proofErr w:type="spellEnd"/>
            <w:r w:rsidRPr="00102C12">
              <w:rPr>
                <w:rFonts w:ascii="Times New Roman" w:eastAsia="Myriad Pro" w:hAnsi="Times New Roman" w:cs="Times New Roman"/>
                <w:color w:val="000000" w:themeColor="text1"/>
              </w:rPr>
              <w:t>.</w:t>
            </w:r>
          </w:p>
          <w:p w14:paraId="0F2B8498" w14:textId="77777777" w:rsidR="00102C12" w:rsidRPr="00423398" w:rsidRDefault="00102C12" w:rsidP="00423398">
            <w:pPr>
              <w:spacing w:after="0"/>
              <w:jc w:val="both"/>
              <w:rPr>
                <w:rFonts w:ascii="Times New Roman" w:eastAsia="Myriad Pro" w:hAnsi="Times New Roman" w:cs="Times New Roman"/>
                <w:color w:val="000000" w:themeColor="text1"/>
              </w:rPr>
            </w:pPr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(2)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Podloga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za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projekt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vanjske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rasvjete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je plan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rasvjete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koji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izrađuje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jedinica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lokalne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samouprave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odnosno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Grad Zagreb.</w:t>
            </w:r>
          </w:p>
          <w:p w14:paraId="138A6EC6" w14:textId="77777777" w:rsidR="00102C12" w:rsidRPr="00423398" w:rsidRDefault="00102C12" w:rsidP="00423398">
            <w:pPr>
              <w:spacing w:after="0"/>
              <w:jc w:val="both"/>
              <w:rPr>
                <w:rFonts w:ascii="Times New Roman" w:eastAsia="Myriad Pro" w:hAnsi="Times New Roman" w:cs="Times New Roman"/>
                <w:color w:val="000000" w:themeColor="text1"/>
              </w:rPr>
            </w:pPr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(3)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Predstavničko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tijelo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jedinica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lokalne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samouprave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odnosno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Grada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Zagreba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donosi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plan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rasvjete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za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svoje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administrativno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područje</w:t>
            </w:r>
            <w:proofErr w:type="spellEnd"/>
            <w:r w:rsidRPr="00423398">
              <w:rPr>
                <w:rFonts w:ascii="Times New Roman" w:eastAsia="Myriad Pro" w:hAnsi="Times New Roman" w:cs="Times New Roman"/>
                <w:color w:val="000000" w:themeColor="text1"/>
              </w:rPr>
              <w:t>.</w:t>
            </w:r>
          </w:p>
          <w:p w14:paraId="28B903C4" w14:textId="39697D76" w:rsidR="00102C12" w:rsidRPr="009F68ED" w:rsidRDefault="00102C12" w:rsidP="00102C12">
            <w:pPr>
              <w:pStyle w:val="Odlomakpopisa"/>
              <w:widowControl/>
              <w:spacing w:after="0" w:line="240" w:lineRule="auto"/>
              <w:ind w:left="0"/>
              <w:jc w:val="both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0915BB30" w:rsidR="001D7128" w:rsidRPr="00C3753E" w:rsidRDefault="009F68ED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31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2C448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C3753E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me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oda 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anja koja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 se primijeniti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- </w:t>
            </w:r>
            <w:r w:rsidR="00D14424" w:rsidRPr="00C3753E">
              <w:rPr>
                <w:rFonts w:ascii="Times New Roman" w:hAnsi="Times New Roman" w:cs="Times New Roman"/>
                <w:color w:val="000000" w:themeColor="text1"/>
                <w:lang w:val="hr-HR"/>
              </w:rPr>
              <w:t>web savjetovanje</w:t>
            </w:r>
          </w:p>
          <w:p w14:paraId="13178CC2" w14:textId="77777777" w:rsidR="0035681E" w:rsidRPr="00C3753E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  <w:p w14:paraId="097F9884" w14:textId="77777777" w:rsidR="0035681E" w:rsidRPr="00C3753E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  <w:p w14:paraId="7F0AAF9B" w14:textId="77777777" w:rsidR="0035681E" w:rsidRPr="00C3753E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C3753E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objašnjenje 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entualnih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eć donesenih odlu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 i pojašnjenje razloga za odabir pojedine opcije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C3753E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ako je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elevantn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5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različiti 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5"/>
                <w:lang w:val="hr-HR"/>
              </w:rPr>
              <w:t>z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ori mišljenja i in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ormacija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 činjenični podaci s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emeljitim popratnim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encama (np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 znans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2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 ili skupina korisni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a)</w:t>
            </w:r>
            <w:r w:rsidR="00FC706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7C4BDBE7" w:rsidR="001D7128" w:rsidRPr="00C3753E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9F68ED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5C1D8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9F68ED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9A402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9A402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C3753E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C3753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14CA7771" w14:textId="77777777" w:rsidR="00AD16BF" w:rsidRPr="00C3753E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C3753E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im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ad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esa i, gdje god je mogu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, b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oj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ele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3"/>
                <w:lang w:val="hr-HR"/>
              </w:rPr>
              <w:t>f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ona i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6"/>
                <w:lang w:val="hr-HR"/>
              </w:rPr>
              <w:t>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-mail ad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esa osobe kojoj se sudionici s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anja mogu obratiti za dodatne upi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t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</w:t>
            </w:r>
            <w:r w:rsidR="004C0CC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1017DF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IVANA FOČIĆ, </w:t>
            </w:r>
            <w:proofErr w:type="spellStart"/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dipl.iur</w:t>
            </w:r>
            <w:proofErr w:type="spellEnd"/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., proče</w:t>
            </w:r>
            <w:r w:rsidR="003C1CF1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nica JUO Općine Šandrovac, Bjelovarska 6, 43227 Šandrovac, tel. 043/874128, fax. 043/874366, email: opcina</w:t>
            </w:r>
            <w:r w:rsidR="003C1CF1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@</w:t>
            </w:r>
            <w:r w:rsidR="00701A55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C3753E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izj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va da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ć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ori biti dostupni, osim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4"/>
                <w:lang w:val="hr-HR"/>
              </w:rPr>
              <w:t>k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ada je onaj koji je poslao odg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 tražio da ostanu p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vjerljivi</w:t>
            </w:r>
            <w:r w:rsidR="004C0CC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Pr="00C3753E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– pojašnjenje e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entualnih o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g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rani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1"/>
                <w:lang w:val="hr-HR"/>
              </w:rPr>
              <w:t>č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enja koja bi mogla d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esti u pitanje potpunu primjenu </w:t>
            </w:r>
          </w:p>
          <w:p w14:paraId="094AC6D2" w14:textId="77777777" w:rsidR="001D7128" w:rsidRPr="00C3753E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smjernica</w:t>
            </w:r>
            <w:r w:rsidR="00B71000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Kodeksa</w:t>
            </w:r>
          </w:p>
          <w:p w14:paraId="14BA09A8" w14:textId="77777777" w:rsidR="00490861" w:rsidRPr="00C3753E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</w:p>
          <w:p w14:paraId="401141AE" w14:textId="1E17AC63" w:rsidR="00490861" w:rsidRPr="00C3753E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102C12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</w:p>
          <w:p w14:paraId="71118D45" w14:textId="4E81B8DC" w:rsidR="00B16F3B" w:rsidRPr="00C3753E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C3753E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</w:t>
            </w:r>
            <w:r w:rsidR="00183AF8" w:rsidRPr="00C3753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901F" w14:textId="77777777" w:rsidR="002D4592" w:rsidRDefault="002D4592" w:rsidP="001D7128">
      <w:pPr>
        <w:spacing w:after="0" w:line="240" w:lineRule="auto"/>
      </w:pPr>
      <w:r>
        <w:separator/>
      </w:r>
    </w:p>
  </w:endnote>
  <w:endnote w:type="continuationSeparator" w:id="0">
    <w:p w14:paraId="01F3DAAD" w14:textId="77777777" w:rsidR="002D4592" w:rsidRDefault="002D4592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A9E14" w14:textId="77777777" w:rsidR="002D4592" w:rsidRDefault="002D4592" w:rsidP="001D7128">
      <w:pPr>
        <w:spacing w:after="0" w:line="240" w:lineRule="auto"/>
      </w:pPr>
      <w:r>
        <w:separator/>
      </w:r>
    </w:p>
  </w:footnote>
  <w:footnote w:type="continuationSeparator" w:id="0">
    <w:p w14:paraId="4E7692CA" w14:textId="77777777" w:rsidR="002D4592" w:rsidRDefault="002D4592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9C76899"/>
    <w:multiLevelType w:val="hybridMultilevel"/>
    <w:tmpl w:val="34645166"/>
    <w:lvl w:ilvl="0" w:tplc="52F4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4"/>
  </w:num>
  <w:num w:numId="2" w16cid:durableId="771048656">
    <w:abstractNumId w:val="1"/>
  </w:num>
  <w:num w:numId="3" w16cid:durableId="702948479">
    <w:abstractNumId w:val="3"/>
  </w:num>
  <w:num w:numId="4" w16cid:durableId="315302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  <w:num w:numId="6" w16cid:durableId="115272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A56FB"/>
    <w:rsid w:val="000E7CDB"/>
    <w:rsid w:val="001017DF"/>
    <w:rsid w:val="00101B3F"/>
    <w:rsid w:val="00102C12"/>
    <w:rsid w:val="00110213"/>
    <w:rsid w:val="001571D9"/>
    <w:rsid w:val="00183AF8"/>
    <w:rsid w:val="001C06A2"/>
    <w:rsid w:val="001D1A5C"/>
    <w:rsid w:val="001D2093"/>
    <w:rsid w:val="001D7128"/>
    <w:rsid w:val="00242716"/>
    <w:rsid w:val="002673D4"/>
    <w:rsid w:val="00267601"/>
    <w:rsid w:val="002C448E"/>
    <w:rsid w:val="002D4592"/>
    <w:rsid w:val="0030353A"/>
    <w:rsid w:val="00307F8B"/>
    <w:rsid w:val="00310C54"/>
    <w:rsid w:val="0032759F"/>
    <w:rsid w:val="0035681E"/>
    <w:rsid w:val="00367FD1"/>
    <w:rsid w:val="0038785A"/>
    <w:rsid w:val="003B004B"/>
    <w:rsid w:val="003C1CF1"/>
    <w:rsid w:val="003E5607"/>
    <w:rsid w:val="003F3C76"/>
    <w:rsid w:val="00423398"/>
    <w:rsid w:val="00490861"/>
    <w:rsid w:val="004C0CC8"/>
    <w:rsid w:val="004E3693"/>
    <w:rsid w:val="004F3855"/>
    <w:rsid w:val="00525E20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27041"/>
    <w:rsid w:val="007A512F"/>
    <w:rsid w:val="007E5697"/>
    <w:rsid w:val="00803CC4"/>
    <w:rsid w:val="00826EF8"/>
    <w:rsid w:val="008676DD"/>
    <w:rsid w:val="008A11F8"/>
    <w:rsid w:val="008D5EC2"/>
    <w:rsid w:val="008F3BD5"/>
    <w:rsid w:val="00902074"/>
    <w:rsid w:val="00920EF5"/>
    <w:rsid w:val="00983627"/>
    <w:rsid w:val="00990722"/>
    <w:rsid w:val="009A4023"/>
    <w:rsid w:val="009B37F7"/>
    <w:rsid w:val="009F68ED"/>
    <w:rsid w:val="00A214DF"/>
    <w:rsid w:val="00A608BE"/>
    <w:rsid w:val="00A72B31"/>
    <w:rsid w:val="00A85ACD"/>
    <w:rsid w:val="00A970AF"/>
    <w:rsid w:val="00AD16BF"/>
    <w:rsid w:val="00AD482E"/>
    <w:rsid w:val="00AD67D7"/>
    <w:rsid w:val="00AF30D5"/>
    <w:rsid w:val="00AF6667"/>
    <w:rsid w:val="00B066BC"/>
    <w:rsid w:val="00B13212"/>
    <w:rsid w:val="00B154FA"/>
    <w:rsid w:val="00B16F3B"/>
    <w:rsid w:val="00B22764"/>
    <w:rsid w:val="00B372B5"/>
    <w:rsid w:val="00B71000"/>
    <w:rsid w:val="00B773E5"/>
    <w:rsid w:val="00B82D97"/>
    <w:rsid w:val="00BC4869"/>
    <w:rsid w:val="00BD3B71"/>
    <w:rsid w:val="00BE06F7"/>
    <w:rsid w:val="00C150A3"/>
    <w:rsid w:val="00C215C1"/>
    <w:rsid w:val="00C35B48"/>
    <w:rsid w:val="00C3753E"/>
    <w:rsid w:val="00C37B3D"/>
    <w:rsid w:val="00C460F4"/>
    <w:rsid w:val="00C50696"/>
    <w:rsid w:val="00C63DC8"/>
    <w:rsid w:val="00C7775D"/>
    <w:rsid w:val="00CA118A"/>
    <w:rsid w:val="00CD68D3"/>
    <w:rsid w:val="00D14424"/>
    <w:rsid w:val="00D4083B"/>
    <w:rsid w:val="00D71010"/>
    <w:rsid w:val="00D8338C"/>
    <w:rsid w:val="00D97AB7"/>
    <w:rsid w:val="00DA1B4C"/>
    <w:rsid w:val="00DF4962"/>
    <w:rsid w:val="00DF568C"/>
    <w:rsid w:val="00E37246"/>
    <w:rsid w:val="00E63470"/>
    <w:rsid w:val="00E652E4"/>
    <w:rsid w:val="00E67FA6"/>
    <w:rsid w:val="00EB567D"/>
    <w:rsid w:val="00F23714"/>
    <w:rsid w:val="00F647FA"/>
    <w:rsid w:val="00F84839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  <w:style w:type="paragraph" w:customStyle="1" w:styleId="Default">
    <w:name w:val="Default"/>
    <w:rsid w:val="00F84839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rovac.hr/dokumenti.asp?id=5&amp;n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28</cp:revision>
  <cp:lastPrinted>2025-07-03T09:45:00Z</cp:lastPrinted>
  <dcterms:created xsi:type="dcterms:W3CDTF">2020-08-07T06:37:00Z</dcterms:created>
  <dcterms:modified xsi:type="dcterms:W3CDTF">2025-07-03T09:45:00Z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